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sz w:val="20"/>
        </w:rPr>
      </w:pPr>
      <w:bookmarkStart w:id="0" w:name="_GoBack"/>
      <w:bookmarkEnd w:id="0"/>
      <w:r w:rsidRPr="0069565C">
        <w:rPr>
          <w:rFonts w:ascii="Arial" w:hAnsi="Arial" w:cs="Arial"/>
          <w:b/>
          <w:sz w:val="20"/>
        </w:rPr>
        <w:t xml:space="preserve">Appendix Table E24. Quality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ssessment of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redictive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LTA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with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5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630"/>
        <w:gridCol w:w="540"/>
        <w:gridCol w:w="1078"/>
        <w:gridCol w:w="1131"/>
        <w:gridCol w:w="1216"/>
        <w:gridCol w:w="720"/>
        <w:gridCol w:w="720"/>
        <w:gridCol w:w="690"/>
        <w:gridCol w:w="980"/>
        <w:gridCol w:w="540"/>
        <w:gridCol w:w="720"/>
        <w:gridCol w:w="630"/>
        <w:gridCol w:w="980"/>
        <w:gridCol w:w="810"/>
        <w:gridCol w:w="720"/>
        <w:gridCol w:w="630"/>
        <w:gridCol w:w="785"/>
        <w:gridCol w:w="722"/>
      </w:tblGrid>
      <w:tr w:rsidR="00E60974" w:rsidRPr="0069565C" w:rsidTr="005E1103">
        <w:trPr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Author, year [ref]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UID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Study Name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1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Patients selection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 ROB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(selection)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Applicability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(selection)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Index test ROB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(index)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Applicability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(index)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Reference  standard ROB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(reference)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Applicability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(reference)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78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72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Flow and timing ROB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(flow &amp; timing)</w:t>
            </w:r>
          </w:p>
        </w:tc>
      </w:tr>
      <w:tr w:rsidR="00E60974" w:rsidRPr="0069565C" w:rsidTr="005E1103">
        <w:trPr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Geisler, 2010{Geisler, 2010 54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20526607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0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1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8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</w:tr>
      <w:tr w:rsidR="00E60974" w:rsidRPr="0069565C" w:rsidTr="005E1103">
        <w:trPr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Cuisset, 2009{Cuisset, 2009 111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19801028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France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0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1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unclear 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[30 days]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8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Frere, 2007{Frere, 2007 193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17938809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France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0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1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[30 days]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8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Hoshino, 2009{Hoshino, 2009 143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19106460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Japan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0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1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unclear 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[28 days]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8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Breet, 2010{Breet, 2010 86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20179285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Netherlands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POPULAR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0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1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8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Gurbel, 2010{Gurbel, 2010 84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20194878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10 study sites in North America and Europe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0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1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[30 days]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8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Kim, 2010{Kim, 2010 241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20449634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Korea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0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1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[6 months]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8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Angiolillo, 2007{Angiolillo, 2008 180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18312754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OPTIMUS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0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1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unclear 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unclear 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[1 month]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8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Blindt, 2007{Blindt, 2007 189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18064332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0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1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unclear 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[6 months]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8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Bliden,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2007{Bliden, 2007 202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17291930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0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1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high 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unclean 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8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2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Gori,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2008{Gori, 2008 151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19132241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Italy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RECLOSE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0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1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8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Gurbel,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2010{Gurbel, 2010 68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20691842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PREPARE POST-STENTING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0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1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8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lastRenderedPageBreak/>
              <w:t>Matetzky,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2004{Matetzky, 2004 188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15184279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Israel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No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0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1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8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2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Angiolollo, 2007{Angiolillo, 2007 194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17936152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Spain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0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1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[2 years]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8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2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Aradi, 2008{Aradi, 2008 236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18388039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Hungary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0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1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High 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[~9 monthss]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8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2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Bellemain-Appaix 2010{Bellemain-Appaix, 2010 87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20170822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France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ALBION (Assessment of the Best Loading Dose of Clopidogrel to Blunt Platelet Activation, Inflammation and Ongoing Necrosis)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[RCT substudy]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0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1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[24 hrs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8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2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Breet, 2011{Breet, 2011 15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21478385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Netherlands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POPular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0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1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[1 year]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8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2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Breet, 2010{Breet, 2010 50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20695984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Netherlands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Substudy of a larger cohort (Breet 2010 PMID: 20179285)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0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1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[1 year]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8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2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Buonamici, 2007{Buonamici, 2007 200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17572245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Italy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0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1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[6 months]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8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2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Campo, 2007{Campo, 2007 197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17868803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Italy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0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1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[6 months]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8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2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Cuisset, 2009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19736156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France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0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1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[30 days]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8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2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Cuisset, 2006{Cuisset, 2006 212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16371119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France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0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1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[1 month]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8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2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Cuisset, 2006{Cuisset, 2006 237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17010792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France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0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1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[1 month]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8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2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Cuisset, 2007{Cuisset, 2007 204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17264958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France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0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[12 hrs]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8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[20 patients who did not receive successful angioplasty were excluded from the study]</w:t>
            </w:r>
          </w:p>
        </w:tc>
        <w:tc>
          <w:tcPr>
            <w:tcW w:w="72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Geisler, 2008{Geisler, 2008 184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17949474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0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1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(30 days)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8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(~13% of patients were lost to followup)</w:t>
            </w:r>
          </w:p>
        </w:tc>
        <w:tc>
          <w:tcPr>
            <w:tcW w:w="72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Geisler, 2006{Geisler, 2006 210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17005534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0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1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[3 months]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8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2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Geisler, 2010{Geisler, 2010 101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19812059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0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1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[3 months]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8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2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Giusti, 2009{Giusti, 2009 134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19268736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Italy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RECLOSE study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(Low Responsiveness to Clopidogrel and Sirolimus- </w:t>
            </w: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or Paclitaxel-Eluting Stent Thrombosis)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0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1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(states that event adjudication was blind to laboratory results)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[6 months]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8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2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Gori, 2008 {Gori, 2008 164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18718420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Italy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RECLOSE study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Responsiveness to Clopidogrel and Sirolimus- or Paclitaxel-Eluting Stent Thrombosis)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0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1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[6 months]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8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2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Gurbel, 2008{Gurbel, 2008 157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19012177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0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1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[2 years]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8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2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Gurbel, 2004{Gurbel, 2004 220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15154601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0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1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(30 days)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8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Hochholzer, 2006{Hochholzer, 2006 208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17084243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EXCELSIOR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0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1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(30 days)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8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Htun, 2011{Htun, 2011 20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21273381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0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[232 of 1567 patients excluded in final analysis]</w:t>
            </w:r>
          </w:p>
        </w:tc>
        <w:tc>
          <w:tcPr>
            <w:tcW w:w="11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[1 year]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8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[15% excluded in final analysis]</w:t>
            </w:r>
          </w:p>
        </w:tc>
        <w:tc>
          <w:tcPr>
            <w:tcW w:w="72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L’Allier, 2008{L'Allier, 2008 178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18342223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Canada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PREPAIR study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0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1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(1 month)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8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Liu, 2011{Liu, 2011 12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21613806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China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0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1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(3 months)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8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(~2% [2 patients] withdrew before 12 hr and three more [!3%] were lost to followup later)</w:t>
            </w:r>
          </w:p>
        </w:tc>
        <w:tc>
          <w:tcPr>
            <w:tcW w:w="72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Muller, 2003{Muller, 2003 223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12719773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0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1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[latest date mentioned is a 9-mo measurement, only in 1 pt]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8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Muller, 2010{Muller, 2010 51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20728084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0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1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keepNext/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[mean 344 days]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8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lastRenderedPageBreak/>
              <w:t>Obradovic, 2009{Obradovic, 2009 123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19318922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Serbia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0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1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keepNext/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[24 hours]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8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Saw, 2008{Saw, 2008 243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19038679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Canada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ELAPSE trial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0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1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[12 months]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8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(22% withdrew [7 of 33 enrolled])</w:t>
            </w:r>
          </w:p>
        </w:tc>
        <w:tc>
          <w:tcPr>
            <w:tcW w:w="72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Trenk, 2008{Trenk, 2008 171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18482659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EXCELSIOR (Impact of Extent of Clopidogrel- Induced Platelet Inhibition During Elective Stent Implantation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on Clinical Event Rate)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(included all patients in the prospective EXCELSIOR cohort that had genotypic information)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0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1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[1 year]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8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Wang, 2010{Wang, 2010 37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21171668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China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0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1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[1 year]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8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Wang, 2009{Wang, 2009 130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19041120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China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0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1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[12 months]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8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Yong, 2009{Yong, 2009 146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19081397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Australia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Platelet Responsiveness to Aspirin and Clopidogrel and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Troponin Increment after Coronary intervention in Acute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coronary Lesions (PRACTICAL) Trial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0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1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[6 months]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8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2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Gurbel,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2003{Gurbel, 2003 224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12714161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No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0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1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(30 days)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8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(many had no data at 30 days)</w:t>
            </w:r>
          </w:p>
        </w:tc>
        <w:tc>
          <w:tcPr>
            <w:tcW w:w="72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high 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Gurbel 2005{Gurbel, 2005 215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16286165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PREPARE POST-STENTING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0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1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[6 months]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8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2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Gurbel 2003{Gurbel, 2003 222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12796140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0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1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[30 days]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8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Kalantzi, 2012{Kalantzi, 2012 18174 /id} 21806493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Greece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NR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0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1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8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Angiolillo, 2011  {Angiolillo, 2011 18175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Italy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0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1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8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Parodi, 2011{Parodi, 2011 2 /id} 21934054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Italy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0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1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8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Gurbel, 2012{Gurbel, 2012 18183 /id} 21862113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0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1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[1 day]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8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Saad, 2012{Saad, 2012 18187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22146578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Egypt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0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1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[6 months]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8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Tselepis, 2011 {Tselepis, 2011 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22008470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Greece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0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1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8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  <w:vAlign w:val="bottom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  <w:vAlign w:val="bottom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Gaglia, 2012{Gaglia, 2011 18244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21919956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0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1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[in-hospital]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8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  <w:vAlign w:val="bottom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Aradi {Aradi, 2012 18248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21902692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Hungary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0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1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unclean 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8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Marcucci, 2012{Marcucci, 2012 18217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22390861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Italy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0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1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8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Ge, 2012</w:t>
            </w:r>
            <w:r w:rsidR="00727E19" w:rsidRPr="0069565C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ldData xml:space="preserve">PFJlZm1hbj48Q2l0ZT48QXV0aG9yPkdlPC9BdXRob3I+PFllYXI+MjAxMjwvWWVhcj48UmVjTnVt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</w:fldData>
              </w:fldChar>
            </w: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ADDIN REFMGR.CITE </w:instrText>
            </w:r>
            <w:r w:rsidR="00727E19" w:rsidRPr="0069565C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ldData xml:space="preserve">PFJlZm1hbj48Q2l0ZT48QXV0aG9yPkdlPC9BdXRob3I+PFllYXI+MjAxMjwvWWVhcj48UmVjTnVt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</w:fldData>
              </w:fldChar>
            </w: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ADDIN EN.CITE.DATA </w:instrText>
            </w:r>
            <w:r w:rsidR="00727E19" w:rsidRPr="0069565C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="00727E19" w:rsidRPr="0069565C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r w:rsidR="00727E19" w:rsidRPr="0069565C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="00727E19" w:rsidRPr="0069565C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separate"/>
            </w:r>
            <w:r w:rsidRPr="0069565C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{Ge, 2012 18184 /id}</w:t>
            </w:r>
            <w:r w:rsidR="00727E19" w:rsidRPr="0069565C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21602258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China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0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13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8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</w:tbl>
    <w:p w:rsidR="00E60974" w:rsidRPr="0069565C" w:rsidRDefault="00E60974" w:rsidP="005E1103">
      <w:pPr>
        <w:pStyle w:val="ListParagraph"/>
        <w:rPr>
          <w:rFonts w:ascii="Arial" w:hAnsi="Arial" w:cs="Arial"/>
          <w:sz w:val="16"/>
          <w:szCs w:val="16"/>
        </w:rPr>
      </w:pPr>
    </w:p>
    <w:p w:rsidR="00E60974" w:rsidRPr="0069565C" w:rsidRDefault="00E60974" w:rsidP="005E1103">
      <w:pPr>
        <w:pStyle w:val="ListParagraph"/>
        <w:rPr>
          <w:rFonts w:ascii="Arial" w:hAnsi="Arial" w:cs="Arial"/>
          <w:sz w:val="16"/>
          <w:szCs w:val="16"/>
        </w:rPr>
      </w:pPr>
    </w:p>
    <w:p w:rsidR="009A534C" w:rsidRDefault="00E60974">
      <w:pPr>
        <w:pStyle w:val="ListParagraph"/>
        <w:numPr>
          <w:ilvl w:val="0"/>
          <w:numId w:val="52"/>
        </w:numPr>
        <w:tabs>
          <w:tab w:val="clear" w:pos="360"/>
        </w:tabs>
        <w:spacing w:after="200" w:line="276" w:lineRule="auto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>Consecutive or random sample of patients enrolled.</w:t>
      </w:r>
    </w:p>
    <w:p w:rsidR="009A534C" w:rsidRDefault="00E60974">
      <w:pPr>
        <w:pStyle w:val="ListParagraph"/>
        <w:numPr>
          <w:ilvl w:val="0"/>
          <w:numId w:val="52"/>
        </w:numPr>
        <w:tabs>
          <w:tab w:val="clear" w:pos="360"/>
        </w:tabs>
        <w:spacing w:after="200" w:line="276" w:lineRule="auto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>Case-control design avoided</w:t>
      </w:r>
    </w:p>
    <w:p w:rsidR="009A534C" w:rsidRDefault="00E60974">
      <w:pPr>
        <w:pStyle w:val="ListParagraph"/>
        <w:numPr>
          <w:ilvl w:val="0"/>
          <w:numId w:val="52"/>
        </w:numPr>
        <w:tabs>
          <w:tab w:val="clear" w:pos="360"/>
        </w:tabs>
        <w:spacing w:after="200" w:line="276" w:lineRule="auto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>Study avoided inappropriate exclusions</w:t>
      </w:r>
    </w:p>
    <w:p w:rsidR="00E60974" w:rsidRPr="0069565C" w:rsidRDefault="00E60974" w:rsidP="005E1103">
      <w:pPr>
        <w:pStyle w:val="ListParagraph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 xml:space="preserve">Risk of bias: could the selection of patients have introduced bias ( </w:t>
      </w:r>
      <w:r w:rsidRPr="0069565C">
        <w:rPr>
          <w:rFonts w:ascii="Arial" w:hAnsi="Arial" w:cs="Arial"/>
          <w:color w:val="000000"/>
          <w:sz w:val="16"/>
          <w:szCs w:val="16"/>
        </w:rPr>
        <w:t>If ≥2 of the above 3 questions are YES, give LOW here; if ≥2 are NO give HIGH; otherwise, give UNCLEAR)</w:t>
      </w:r>
    </w:p>
    <w:p w:rsidR="00E60974" w:rsidRPr="0069565C" w:rsidRDefault="00E60974" w:rsidP="005E1103">
      <w:pPr>
        <w:pStyle w:val="ListParagraph"/>
        <w:keepNext/>
        <w:rPr>
          <w:rFonts w:ascii="Arial" w:hAnsi="Arial" w:cs="Arial"/>
          <w:color w:val="000000"/>
          <w:sz w:val="16"/>
          <w:szCs w:val="16"/>
        </w:rPr>
      </w:pPr>
      <w:proofErr w:type="gramStart"/>
      <w:r w:rsidRPr="0069565C">
        <w:rPr>
          <w:rFonts w:ascii="Arial" w:hAnsi="Arial" w:cs="Arial"/>
          <w:color w:val="000000"/>
          <w:sz w:val="16"/>
          <w:szCs w:val="16"/>
        </w:rPr>
        <w:t>Concerns that the included patients do not match the review question?</w:t>
      </w:r>
      <w:proofErr w:type="gramEnd"/>
    </w:p>
    <w:p w:rsidR="009A534C" w:rsidRDefault="00E60974">
      <w:pPr>
        <w:pStyle w:val="ListParagraph"/>
        <w:keepNext/>
        <w:numPr>
          <w:ilvl w:val="0"/>
          <w:numId w:val="52"/>
        </w:numPr>
        <w:tabs>
          <w:tab w:val="clear" w:pos="360"/>
        </w:tabs>
        <w:spacing w:after="200" w:line="276" w:lineRule="auto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>Index test results interpreted without knowledge of results of reference standard?</w:t>
      </w:r>
    </w:p>
    <w:p w:rsidR="009A534C" w:rsidRDefault="00E60974">
      <w:pPr>
        <w:pStyle w:val="ListParagraph"/>
        <w:numPr>
          <w:ilvl w:val="0"/>
          <w:numId w:val="52"/>
        </w:numPr>
        <w:tabs>
          <w:tab w:val="clear" w:pos="360"/>
        </w:tabs>
        <w:spacing w:after="200" w:line="276" w:lineRule="auto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color w:val="000000"/>
          <w:sz w:val="16"/>
          <w:szCs w:val="16"/>
        </w:rPr>
        <w:t>If a threshold used, was it prespecified?</w:t>
      </w:r>
    </w:p>
    <w:p w:rsidR="00E60974" w:rsidRPr="0069565C" w:rsidRDefault="00E60974" w:rsidP="005E1103">
      <w:pPr>
        <w:pStyle w:val="ListParagraph"/>
        <w:keepNext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color w:val="000000"/>
          <w:sz w:val="16"/>
          <w:szCs w:val="16"/>
        </w:rPr>
        <w:t>Risk of bias:  Could the conduct or interpretation of the index test have introduced bias?</w:t>
      </w:r>
    </w:p>
    <w:p w:rsidR="00E60974" w:rsidRPr="0069565C" w:rsidRDefault="00E60974" w:rsidP="005E1103">
      <w:pPr>
        <w:pStyle w:val="ListParagraph"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color w:val="000000"/>
          <w:sz w:val="16"/>
          <w:szCs w:val="16"/>
        </w:rPr>
        <w:t>(If both of the above questions are YES, give LOW here; if one or both are NO, give HIGH; otherwise, give UNCLEAR)</w:t>
      </w:r>
    </w:p>
    <w:p w:rsidR="00E60974" w:rsidRPr="0069565C" w:rsidRDefault="00E60974" w:rsidP="005E1103">
      <w:pPr>
        <w:pStyle w:val="ListParagraph"/>
        <w:keepNext/>
        <w:rPr>
          <w:rFonts w:ascii="Arial" w:hAnsi="Arial" w:cs="Arial"/>
          <w:color w:val="000000"/>
          <w:sz w:val="16"/>
          <w:szCs w:val="16"/>
        </w:rPr>
      </w:pPr>
      <w:proofErr w:type="gramStart"/>
      <w:r w:rsidRPr="0069565C">
        <w:rPr>
          <w:rFonts w:ascii="Arial" w:hAnsi="Arial" w:cs="Arial"/>
          <w:color w:val="000000"/>
          <w:sz w:val="16"/>
          <w:szCs w:val="16"/>
        </w:rPr>
        <w:t>Concerns that the index test, its conduct, or its interpretation differ from the review question?</w:t>
      </w:r>
      <w:proofErr w:type="gramEnd"/>
    </w:p>
    <w:p w:rsidR="009A534C" w:rsidRDefault="00E60974">
      <w:pPr>
        <w:pStyle w:val="ListParagraph"/>
        <w:keepNext/>
        <w:numPr>
          <w:ilvl w:val="0"/>
          <w:numId w:val="52"/>
        </w:numPr>
        <w:tabs>
          <w:tab w:val="clear" w:pos="360"/>
        </w:tabs>
        <w:spacing w:after="200" w:line="276" w:lineRule="auto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color w:val="000000"/>
          <w:sz w:val="16"/>
          <w:szCs w:val="16"/>
        </w:rPr>
        <w:t xml:space="preserve">  </w:t>
      </w:r>
      <w:r w:rsidRPr="0069565C">
        <w:rPr>
          <w:rFonts w:ascii="Arial" w:hAnsi="Arial" w:cs="Arial"/>
          <w:sz w:val="16"/>
          <w:szCs w:val="16"/>
        </w:rPr>
        <w:t>Reference standard likely to correctly classify the target condition?</w:t>
      </w:r>
    </w:p>
    <w:p w:rsidR="009A534C" w:rsidRDefault="00E60974">
      <w:pPr>
        <w:pStyle w:val="ListParagraph"/>
        <w:keepNext/>
        <w:numPr>
          <w:ilvl w:val="0"/>
          <w:numId w:val="52"/>
        </w:numPr>
        <w:tabs>
          <w:tab w:val="clear" w:pos="360"/>
        </w:tabs>
        <w:spacing w:after="200" w:line="276" w:lineRule="auto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 xml:space="preserve">  Reference standard results interpreted without knowledge of index test results?</w:t>
      </w:r>
    </w:p>
    <w:p w:rsidR="00E60974" w:rsidRPr="0069565C" w:rsidRDefault="00E60974" w:rsidP="005E1103">
      <w:pPr>
        <w:pStyle w:val="ListParagraph"/>
        <w:keepNext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 xml:space="preserve">  </w:t>
      </w:r>
      <w:r w:rsidRPr="0069565C">
        <w:rPr>
          <w:rFonts w:ascii="Arial" w:hAnsi="Arial" w:cs="Arial"/>
          <w:color w:val="000000"/>
          <w:sz w:val="16"/>
          <w:szCs w:val="16"/>
        </w:rPr>
        <w:t>Could the reference standard, its conduct, or its interpretation have introduced bias?</w:t>
      </w:r>
    </w:p>
    <w:p w:rsidR="00E60974" w:rsidRPr="0069565C" w:rsidRDefault="00E60974" w:rsidP="005E1103">
      <w:pPr>
        <w:pStyle w:val="ListParagraph"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color w:val="000000"/>
          <w:sz w:val="16"/>
          <w:szCs w:val="16"/>
        </w:rPr>
        <w:t>(If both of the above questions are YES, give LOW here; if one or both are NO, give HIGH; otherwise, give UNCLEAR)</w:t>
      </w:r>
    </w:p>
    <w:p w:rsidR="00E60974" w:rsidRPr="0069565C" w:rsidRDefault="00E60974" w:rsidP="005E1103">
      <w:pPr>
        <w:pStyle w:val="ListParagraph"/>
        <w:keepNext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color w:val="000000"/>
          <w:sz w:val="16"/>
          <w:szCs w:val="16"/>
        </w:rPr>
        <w:t>Are there concerns that the target condition as defined by the reference standard does not match the review question?</w:t>
      </w:r>
    </w:p>
    <w:p w:rsidR="009A534C" w:rsidRDefault="00E60974">
      <w:pPr>
        <w:pStyle w:val="ListParagraph"/>
        <w:keepNext/>
        <w:numPr>
          <w:ilvl w:val="0"/>
          <w:numId w:val="52"/>
        </w:numPr>
        <w:tabs>
          <w:tab w:val="clear" w:pos="360"/>
        </w:tabs>
        <w:spacing w:after="200" w:line="276" w:lineRule="auto"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color w:val="000000"/>
          <w:sz w:val="16"/>
          <w:szCs w:val="16"/>
        </w:rPr>
        <w:t>Appropriate interval between index test and reference standard?</w:t>
      </w:r>
    </w:p>
    <w:p w:rsidR="009A534C" w:rsidRDefault="00E60974">
      <w:pPr>
        <w:pStyle w:val="ListParagraph"/>
        <w:keepNext/>
        <w:numPr>
          <w:ilvl w:val="0"/>
          <w:numId w:val="52"/>
        </w:numPr>
        <w:tabs>
          <w:tab w:val="clear" w:pos="360"/>
        </w:tabs>
        <w:spacing w:after="200" w:line="276" w:lineRule="auto"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 xml:space="preserve"> All patients received a reference standard?</w:t>
      </w:r>
    </w:p>
    <w:p w:rsidR="009A534C" w:rsidRDefault="00E60974">
      <w:pPr>
        <w:pStyle w:val="ListParagraph"/>
        <w:keepNext/>
        <w:numPr>
          <w:ilvl w:val="0"/>
          <w:numId w:val="52"/>
        </w:numPr>
        <w:tabs>
          <w:tab w:val="clear" w:pos="360"/>
        </w:tabs>
        <w:spacing w:after="200" w:line="276" w:lineRule="auto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 xml:space="preserve"> All patients received the same reference standard?</w:t>
      </w:r>
    </w:p>
    <w:p w:rsidR="009A534C" w:rsidRDefault="00E60974">
      <w:pPr>
        <w:pStyle w:val="ListParagraph"/>
        <w:keepNext/>
        <w:numPr>
          <w:ilvl w:val="0"/>
          <w:numId w:val="52"/>
        </w:numPr>
        <w:tabs>
          <w:tab w:val="clear" w:pos="360"/>
        </w:tabs>
        <w:spacing w:after="200" w:line="276" w:lineRule="auto"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 xml:space="preserve"> Were all patients included in the analysis?</w:t>
      </w:r>
    </w:p>
    <w:p w:rsidR="00E60974" w:rsidRPr="0069565C" w:rsidRDefault="00E60974" w:rsidP="005E1103">
      <w:pPr>
        <w:pStyle w:val="ListParagraph"/>
        <w:keepNext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color w:val="000000"/>
          <w:sz w:val="16"/>
          <w:szCs w:val="16"/>
        </w:rPr>
        <w:t>Could the patient flow have introduced bias? (If ≥3 of the above 4 questions are YES, give LOW here; if ≥2 are NO give HIGH; otherwise, give UNCLEAR)</w:t>
      </w:r>
    </w:p>
    <w:p w:rsidR="00E60974" w:rsidRPr="00EE0FBC" w:rsidRDefault="003604DE" w:rsidP="003604DE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/>
    <w:sectPr w:rsidR="00E60974" w:rsidSect="003604DE">
      <w:footerReference w:type="default" r:id="rId9"/>
      <w:pgSz w:w="15840" w:h="12240" w:orient="landscape"/>
      <w:pgMar w:top="1440" w:right="1440" w:bottom="1440" w:left="1440" w:header="720" w:footer="720" w:gutter="0"/>
      <w:pgNumType w:start="24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E02" w:rsidRDefault="00C51E02" w:rsidP="00FC3BBE">
      <w:r>
        <w:separator/>
      </w:r>
    </w:p>
  </w:endnote>
  <w:endnote w:type="continuationSeparator" w:id="0">
    <w:p w:rsidR="00C51E02" w:rsidRDefault="00C51E02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3604DE">
          <w:rPr>
            <w:rFonts w:ascii="Times New Roman" w:hAnsi="Times New Roman"/>
            <w:noProof/>
            <w:sz w:val="24"/>
            <w:szCs w:val="24"/>
          </w:rPr>
          <w:t>242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E02" w:rsidRDefault="00C51E02" w:rsidP="00FC3BBE">
      <w:r>
        <w:separator/>
      </w:r>
    </w:p>
  </w:footnote>
  <w:footnote w:type="continuationSeparator" w:id="0">
    <w:p w:rsidR="00C51E02" w:rsidRDefault="00C51E02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04DE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1E0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EE3A3-98AA-4D01-B6B1-E87AB7E5A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11461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2013-11-09T11:03:00Z</dcterms:modified>
</cp:coreProperties>
</file>