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00" w:rsidRPr="002F278B" w:rsidRDefault="00B25DDC" w:rsidP="002F278B">
      <w:pPr>
        <w:pStyle w:val="TableTitle"/>
        <w:rPr>
          <w:b w:val="0"/>
        </w:rPr>
      </w:pPr>
      <w:bookmarkStart w:id="0" w:name="PCRefList_JHU_Meditation_Abstract_ES_Oct"/>
      <w:r w:rsidRPr="008C55B6">
        <w:t xml:space="preserve">Figure </w:t>
      </w:r>
      <w:r w:rsidR="00796083">
        <w:t>B</w:t>
      </w:r>
      <w:r w:rsidRPr="008C55B6">
        <w:t>1</w:t>
      </w:r>
      <w:r w:rsidR="00796083">
        <w:t>.</w:t>
      </w:r>
      <w:r w:rsidRPr="008C55B6">
        <w:t xml:space="preserve"> Summary across measurement domains of comparisons of meditation with </w:t>
      </w:r>
      <w:r w:rsidRPr="008C55B6">
        <w:rPr>
          <w:u w:val="single"/>
        </w:rPr>
        <w:t>nonspecific</w:t>
      </w:r>
      <w:r w:rsidRPr="008C55B6">
        <w:t xml:space="preserve"> active controls</w:t>
      </w:r>
      <w:r w:rsidR="002F278B">
        <w:br/>
      </w:r>
      <w:r w:rsidR="00673A5D" w:rsidRPr="002F278B">
        <w:rPr>
          <w:b w:val="0"/>
        </w:rPr>
        <w:t>[See combined legend for Figures B1 and B2 following the figures for further information</w:t>
      </w:r>
      <w:r w:rsidR="00C464E3" w:rsidRPr="002F278B">
        <w:rPr>
          <w:b w:val="0"/>
        </w:rPr>
        <w:t xml:space="preserve">, including </w:t>
      </w:r>
      <w:r w:rsidR="009669A5" w:rsidRPr="002F278B">
        <w:rPr>
          <w:b w:val="0"/>
        </w:rPr>
        <w:t xml:space="preserve">explanations of symbols and </w:t>
      </w:r>
      <w:r w:rsidR="00C464E3" w:rsidRPr="002F278B">
        <w:rPr>
          <w:b w:val="0"/>
        </w:rPr>
        <w:t>definitions</w:t>
      </w:r>
      <w:r w:rsidR="00152402" w:rsidRPr="002F278B">
        <w:rPr>
          <w:b w:val="0"/>
        </w:rPr>
        <w:t xml:space="preserve"> </w:t>
      </w:r>
      <w:r w:rsidR="00C464E3" w:rsidRPr="002F278B">
        <w:rPr>
          <w:b w:val="0"/>
        </w:rPr>
        <w:t>of lettered footnotes</w:t>
      </w:r>
      <w:r w:rsidR="00673A5D" w:rsidRPr="002F278B">
        <w:rPr>
          <w:b w:val="0"/>
        </w:rPr>
        <w:t>]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igure B1. Summary across measurement domains of comparisons of meditation with nonspecific active controls"/>
        <w:tblDescription w:val="Figure B1. Summary across measurement domains of comparisons of meditation with nonspecific active controls"/>
      </w:tblPr>
      <w:tblGrid>
        <w:gridCol w:w="1998"/>
        <w:gridCol w:w="1260"/>
        <w:gridCol w:w="1260"/>
        <w:gridCol w:w="2070"/>
        <w:gridCol w:w="2700"/>
        <w:gridCol w:w="1530"/>
      </w:tblGrid>
      <w:tr w:rsidR="00B25DDC" w:rsidRPr="008C55B6" w:rsidTr="00D64474">
        <w:tc>
          <w:tcPr>
            <w:tcW w:w="1998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8C55B6">
              <w:rPr>
                <w:rFonts w:cs="Arial"/>
                <w:b/>
                <w:sz w:val="18"/>
                <w:szCs w:val="18"/>
              </w:rPr>
              <w:t>Outcome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8C55B6">
              <w:rPr>
                <w:rFonts w:cs="Arial"/>
                <w:b/>
                <w:sz w:val="18"/>
                <w:szCs w:val="18"/>
              </w:rPr>
              <w:t>Meditation Program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b/>
                <w:sz w:val="18"/>
                <w:szCs w:val="18"/>
              </w:rPr>
            </w:pPr>
            <w:r w:rsidRPr="008C55B6">
              <w:rPr>
                <w:rFonts w:cs="Arial"/>
                <w:b/>
                <w:sz w:val="18"/>
                <w:szCs w:val="18"/>
              </w:rPr>
              <w:t>Population</w:t>
            </w:r>
          </w:p>
        </w:tc>
        <w:tc>
          <w:tcPr>
            <w:tcW w:w="2070" w:type="dxa"/>
            <w:vAlign w:val="center"/>
          </w:tcPr>
          <w:p w:rsidR="00B25DDC" w:rsidRPr="008C55B6" w:rsidRDefault="00B25DDC" w:rsidP="009669A5">
            <w:pPr>
              <w:ind w:firstLine="0"/>
              <w:rPr>
                <w:rFonts w:cs="Arial"/>
                <w:b/>
                <w:noProof/>
                <w:sz w:val="18"/>
                <w:szCs w:val="18"/>
              </w:rPr>
            </w:pPr>
            <w:r w:rsidRPr="008C55B6">
              <w:rPr>
                <w:rFonts w:cs="Arial"/>
                <w:b/>
                <w:noProof/>
                <w:sz w:val="18"/>
                <w:szCs w:val="18"/>
              </w:rPr>
              <w:t>Direction</w:t>
            </w:r>
            <w:r w:rsidR="00214543" w:rsidRPr="00C17780">
              <w:rPr>
                <w:rFonts w:ascii="Arial Bold" w:hAnsi="Arial Bold" w:cs="Arial"/>
                <w:b/>
                <w:noProof/>
                <w:sz w:val="18"/>
                <w:szCs w:val="18"/>
                <w:vertAlign w:val="superscript"/>
              </w:rPr>
              <w:t>a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 xml:space="preserve"> (</w:t>
            </w:r>
            <w:r w:rsidR="009669A5" w:rsidRPr="008C55B6">
              <w:rPr>
                <w:rFonts w:cs="Arial"/>
                <w:b/>
                <w:noProof/>
                <w:sz w:val="18"/>
                <w:szCs w:val="18"/>
              </w:rPr>
              <w:t>Magnitude</w:t>
            </w:r>
            <w:r w:rsidR="009669A5">
              <w:rPr>
                <w:rFonts w:cs="Arial"/>
                <w:b/>
                <w:noProof/>
                <w:sz w:val="18"/>
                <w:szCs w:val="18"/>
                <w:vertAlign w:val="superscript"/>
              </w:rPr>
              <w:t>b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 xml:space="preserve">) of </w:t>
            </w:r>
            <w:r w:rsidR="009669A5">
              <w:rPr>
                <w:rFonts w:cs="Arial"/>
                <w:b/>
                <w:noProof/>
                <w:sz w:val="18"/>
                <w:szCs w:val="18"/>
              </w:rPr>
              <w:t>E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>ffect</w:t>
            </w:r>
          </w:p>
        </w:tc>
        <w:tc>
          <w:tcPr>
            <w:tcW w:w="2700" w:type="dxa"/>
            <w:vAlign w:val="center"/>
          </w:tcPr>
          <w:p w:rsidR="00B25DDC" w:rsidRPr="009669A5" w:rsidRDefault="00214543" w:rsidP="00834108">
            <w:pPr>
              <w:tabs>
                <w:tab w:val="left" w:pos="1602"/>
              </w:tabs>
              <w:ind w:firstLine="0"/>
              <w:rPr>
                <w:rFonts w:cs="Arial"/>
                <w:b/>
                <w:noProof/>
                <w:sz w:val="18"/>
                <w:szCs w:val="18"/>
              </w:rPr>
            </w:pPr>
            <w:r w:rsidRPr="00C17780">
              <w:rPr>
                <w:rFonts w:cs="Arial"/>
                <w:b/>
                <w:noProof/>
                <w:sz w:val="18"/>
                <w:szCs w:val="18"/>
              </w:rPr>
              <w:t>Number of Trials—</w:t>
            </w:r>
          </w:p>
          <w:p w:rsidR="00B25DDC" w:rsidRPr="008C55B6" w:rsidRDefault="00B25DDC" w:rsidP="00834108">
            <w:pPr>
              <w:tabs>
                <w:tab w:val="left" w:pos="1602"/>
              </w:tabs>
              <w:ind w:firstLine="0"/>
              <w:rPr>
                <w:rFonts w:cs="Arial"/>
                <w:b/>
                <w:noProof/>
                <w:sz w:val="18"/>
                <w:szCs w:val="18"/>
              </w:rPr>
            </w:pPr>
            <w:r w:rsidRPr="008C55B6">
              <w:rPr>
                <w:rFonts w:cs="Arial"/>
                <w:b/>
                <w:noProof/>
                <w:sz w:val="18"/>
                <w:szCs w:val="18"/>
              </w:rPr>
              <w:t>Total [PO]: PA (MA)</w:t>
            </w:r>
            <w:r w:rsidR="009669A5">
              <w:rPr>
                <w:rFonts w:cs="Arial"/>
                <w:b/>
                <w:noProof/>
                <w:sz w:val="18"/>
                <w:szCs w:val="18"/>
              </w:rPr>
              <w:t>;</w:t>
            </w:r>
            <w:r w:rsidR="009669A5">
              <w:rPr>
                <w:rFonts w:cs="Arial"/>
                <w:b/>
                <w:noProof/>
                <w:sz w:val="18"/>
                <w:szCs w:val="18"/>
                <w:vertAlign w:val="superscript"/>
              </w:rPr>
              <w:t>c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9669A5">
              <w:rPr>
                <w:rFonts w:cs="Arial"/>
                <w:b/>
                <w:noProof/>
                <w:sz w:val="18"/>
                <w:szCs w:val="18"/>
              </w:rPr>
              <w:t>T</w:t>
            </w:r>
            <w:r w:rsidRPr="008C55B6">
              <w:rPr>
                <w:rFonts w:cs="Arial"/>
                <w:b/>
                <w:noProof/>
                <w:sz w:val="18"/>
                <w:szCs w:val="18"/>
              </w:rPr>
              <w:t>otal N</w:t>
            </w:r>
          </w:p>
        </w:tc>
        <w:tc>
          <w:tcPr>
            <w:tcW w:w="1530" w:type="dxa"/>
            <w:vAlign w:val="center"/>
          </w:tcPr>
          <w:p w:rsidR="00B25DDC" w:rsidRPr="008C55B6" w:rsidRDefault="009669A5" w:rsidP="009669A5">
            <w:pPr>
              <w:ind w:firstLine="0"/>
              <w:rPr>
                <w:rFonts w:cs="Arial"/>
                <w:b/>
                <w:noProof/>
                <w:sz w:val="18"/>
                <w:szCs w:val="18"/>
                <w:vertAlign w:val="superscript"/>
              </w:rPr>
            </w:pPr>
            <w:r w:rsidRPr="008C55B6">
              <w:rPr>
                <w:rFonts w:cs="Arial"/>
                <w:b/>
                <w:noProof/>
                <w:sz w:val="18"/>
                <w:szCs w:val="18"/>
              </w:rPr>
              <w:t>SOE</w:t>
            </w:r>
            <w:r>
              <w:rPr>
                <w:rFonts w:cs="Arial"/>
                <w:b/>
                <w:noProof/>
                <w:sz w:val="18"/>
                <w:szCs w:val="18"/>
                <w:vertAlign w:val="superscript"/>
              </w:rPr>
              <w:t>d</w:t>
            </w:r>
          </w:p>
        </w:tc>
      </w:tr>
      <w:tr w:rsidR="00020F1D" w:rsidRPr="008C55B6" w:rsidTr="00D64474">
        <w:trPr>
          <w:trHeight w:val="296"/>
        </w:trPr>
        <w:tc>
          <w:tcPr>
            <w:tcW w:w="1998" w:type="dxa"/>
            <w:vMerge w:val="restart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Anxiety (KQ1)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5E31FD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(0% to +44%)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noProof/>
                <w:sz w:val="18"/>
                <w:szCs w:val="18"/>
              </w:rPr>
            </w:pPr>
            <w:r w:rsidRPr="008C55B6">
              <w:rPr>
                <w:rFonts w:cs="Arial"/>
                <w:noProof/>
                <w:sz w:val="18"/>
                <w:szCs w:val="18"/>
              </w:rPr>
              <w:t>7 [3]: 6 (6)</w:t>
            </w:r>
            <w:r>
              <w:rPr>
                <w:rFonts w:cs="Arial"/>
                <w:noProof/>
                <w:sz w:val="18"/>
                <w:szCs w:val="18"/>
              </w:rPr>
              <w:t>;</w:t>
            </w:r>
            <w:r w:rsidR="00D40A37">
              <w:rPr>
                <w:rFonts w:cs="Arial"/>
                <w:noProof/>
                <w:sz w:val="18"/>
                <w:szCs w:val="18"/>
              </w:rPr>
              <w:tab/>
            </w:r>
            <w:r w:rsidRPr="008C55B6">
              <w:rPr>
                <w:rFonts w:cs="Arial"/>
                <w:noProof/>
                <w:sz w:val="18"/>
                <w:szCs w:val="18"/>
              </w:rPr>
              <w:t>N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noProof/>
                <w:sz w:val="18"/>
                <w:szCs w:val="18"/>
              </w:rPr>
              <w:t>=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noProof/>
                <w:sz w:val="18"/>
                <w:szCs w:val="18"/>
              </w:rPr>
              <w:t>558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Moderate for ↑</w:t>
            </w:r>
          </w:p>
        </w:tc>
      </w:tr>
      <w:tr w:rsidR="00020F1D" w:rsidRPr="008C55B6" w:rsidTr="00D64474">
        <w:trPr>
          <w:trHeight w:val="359"/>
        </w:trPr>
        <w:tc>
          <w:tcPr>
            <w:tcW w:w="1998" w:type="dxa"/>
            <w:vMerge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3% to +6%)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3 [2]: 3 (3)</w:t>
            </w:r>
            <w:r>
              <w:rPr>
                <w:rFonts w:cs="Arial"/>
                <w:sz w:val="18"/>
                <w:szCs w:val="18"/>
              </w:rPr>
              <w:t>;</w:t>
            </w:r>
            <w:r w:rsidR="00D40A37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237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 w:val="restart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Depression (KQ1)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5E31FD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(0% to +52%)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9 [4]: 8 (8)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768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Moderate for ↑</w:t>
            </w:r>
          </w:p>
        </w:tc>
      </w:tr>
      <w:tr w:rsidR="00020F1D" w:rsidRPr="008C55B6" w:rsidTr="00D64474">
        <w:trPr>
          <w:trHeight w:val="341"/>
        </w:trPr>
        <w:tc>
          <w:tcPr>
            <w:tcW w:w="1998" w:type="dxa"/>
            <w:vMerge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↑↓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19% to +46%)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[1]: 4 (2)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420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 w:val="restart"/>
            <w:vAlign w:val="center"/>
          </w:tcPr>
          <w:p w:rsidR="00020F1D" w:rsidRPr="008C55B6" w:rsidRDefault="00020F1D" w:rsidP="002D46B0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Stress/</w:t>
            </w:r>
            <w:r w:rsidR="002D46B0">
              <w:rPr>
                <w:rFonts w:cs="Arial"/>
                <w:sz w:val="18"/>
                <w:szCs w:val="18"/>
              </w:rPr>
              <w:t>D</w:t>
            </w:r>
            <w:r w:rsidRPr="008C55B6">
              <w:rPr>
                <w:rFonts w:cs="Arial"/>
                <w:sz w:val="18"/>
                <w:szCs w:val="18"/>
              </w:rPr>
              <w:t>istress (KQ1)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5E31FD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(+1% to +21%)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8 [3]: 6 (6</w:t>
            </w:r>
            <w:r>
              <w:rPr>
                <w:rFonts w:cs="Arial"/>
                <w:sz w:val="18"/>
                <w:szCs w:val="18"/>
              </w:rPr>
              <w:t>*</w:t>
            </w:r>
            <w:r w:rsidRPr="008C55B6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697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↑</w:t>
            </w:r>
          </w:p>
        </w:tc>
      </w:tr>
      <w:tr w:rsidR="00020F1D" w:rsidRPr="008C55B6" w:rsidTr="00D64474">
        <w:trPr>
          <w:trHeight w:val="359"/>
        </w:trPr>
        <w:tc>
          <w:tcPr>
            <w:tcW w:w="1998" w:type="dxa"/>
            <w:vMerge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Select</w:t>
            </w:r>
            <w:r>
              <w:rPr>
                <w:rFonts w:cs="Arial"/>
                <w:sz w:val="18"/>
                <w:szCs w:val="18"/>
              </w:rPr>
              <w:t>ed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6% to +1%)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3 [1]: 3 (2)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 w:val="restart"/>
            <w:vAlign w:val="center"/>
          </w:tcPr>
          <w:p w:rsidR="00020F1D" w:rsidRPr="008C55B6" w:rsidRDefault="00020F1D" w:rsidP="002D46B0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Negative </w:t>
            </w:r>
            <w:r w:rsidR="002D46B0">
              <w:rPr>
                <w:rFonts w:cs="Arial"/>
                <w:sz w:val="18"/>
                <w:szCs w:val="18"/>
              </w:rPr>
              <w:t>A</w:t>
            </w:r>
            <w:r w:rsidRPr="008C55B6">
              <w:rPr>
                <w:rFonts w:cs="Arial"/>
                <w:sz w:val="18"/>
                <w:szCs w:val="18"/>
              </w:rPr>
              <w:t>ffect (KQ1)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(0% t</w:t>
            </w:r>
            <w:bookmarkStart w:id="1" w:name="_GoBack"/>
            <w:bookmarkEnd w:id="1"/>
            <w:r w:rsidRPr="008C55B6">
              <w:rPr>
                <w:rFonts w:cs="Arial"/>
                <w:sz w:val="18"/>
                <w:szCs w:val="18"/>
              </w:rPr>
              <w:t>o +44%)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13 [5]:11 (11</w:t>
            </w:r>
            <w:r>
              <w:rPr>
                <w:rFonts w:cs="Arial"/>
                <w:sz w:val="18"/>
                <w:szCs w:val="18"/>
              </w:rPr>
              <w:t>**</w:t>
            </w:r>
            <w:r w:rsidRPr="008C55B6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,</w:t>
            </w:r>
            <w:r w:rsidRPr="008C55B6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↑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Mantra 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↑↓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3% to +46%)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5 [2]: 5 (0</w:t>
            </w:r>
            <w:r>
              <w:rPr>
                <w:rFonts w:cs="Arial"/>
                <w:sz w:val="18"/>
                <w:szCs w:val="18"/>
              </w:rPr>
              <w:t>*</w:t>
            </w:r>
            <w:r w:rsidRPr="008C55B6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>*);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438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 w:val="restart"/>
            <w:vAlign w:val="center"/>
          </w:tcPr>
          <w:p w:rsidR="00020F1D" w:rsidRPr="008C55B6" w:rsidRDefault="00020F1D" w:rsidP="005049CC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Positive </w:t>
            </w:r>
            <w:r w:rsidR="005049CC">
              <w:rPr>
                <w:rFonts w:cs="Arial"/>
                <w:sz w:val="18"/>
                <w:szCs w:val="18"/>
              </w:rPr>
              <w:t>A</w:t>
            </w:r>
            <w:r w:rsidRPr="008C55B6">
              <w:rPr>
                <w:rFonts w:cs="Arial"/>
                <w:sz w:val="18"/>
                <w:szCs w:val="18"/>
              </w:rPr>
              <w:t>ffect (KQ1)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(+1% to +55%)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3 [0]: 3 (3)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255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0F1D" w:rsidRPr="008C55B6" w:rsidRDefault="00020F1D" w:rsidP="009669A5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TM (</w:t>
            </w:r>
            <w:r>
              <w:rPr>
                <w:rFonts w:cs="Arial"/>
                <w:sz w:val="18"/>
                <w:szCs w:val="18"/>
              </w:rPr>
              <w:t>m</w:t>
            </w:r>
            <w:r w:rsidRPr="008C55B6">
              <w:rPr>
                <w:rFonts w:cs="Arial"/>
                <w:sz w:val="18"/>
                <w:szCs w:val="18"/>
              </w:rPr>
              <w:t xml:space="preserve">antra) 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CHF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(+2%)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[0]: 1 (0)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B25DDC" w:rsidRPr="008C55B6" w:rsidTr="00D64474">
        <w:trPr>
          <w:trHeight w:val="350"/>
        </w:trPr>
        <w:tc>
          <w:tcPr>
            <w:tcW w:w="1998" w:type="dxa"/>
            <w:vAlign w:val="center"/>
          </w:tcPr>
          <w:p w:rsidR="00B25DDC" w:rsidRPr="008C55B6" w:rsidRDefault="00B25DDC" w:rsidP="005049CC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Quality</w:t>
            </w:r>
            <w:r w:rsidR="005049CC">
              <w:rPr>
                <w:rFonts w:cs="Arial"/>
                <w:sz w:val="18"/>
                <w:szCs w:val="18"/>
              </w:rPr>
              <w:t xml:space="preserve"> of L</w:t>
            </w:r>
            <w:r w:rsidRPr="008C55B6">
              <w:rPr>
                <w:rFonts w:cs="Arial"/>
                <w:sz w:val="18"/>
                <w:szCs w:val="18"/>
              </w:rPr>
              <w:t>ife (KQ1)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(+5% to +28%)</w:t>
            </w:r>
          </w:p>
        </w:tc>
        <w:tc>
          <w:tcPr>
            <w:tcW w:w="2700" w:type="dxa"/>
            <w:vAlign w:val="center"/>
          </w:tcPr>
          <w:p w:rsidR="00B25DDC" w:rsidRPr="008C55B6" w:rsidRDefault="00B25DDC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[2]: 4 (3)</w:t>
            </w:r>
            <w:r w:rsidR="009669A5"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 w:rsidR="009669A5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 w:rsidR="009669A5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346</w:t>
            </w:r>
          </w:p>
        </w:tc>
        <w:tc>
          <w:tcPr>
            <w:tcW w:w="153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↑</w:t>
            </w:r>
          </w:p>
        </w:tc>
      </w:tr>
      <w:tr w:rsidR="00B25DDC" w:rsidRPr="008C55B6" w:rsidTr="00D64474">
        <w:trPr>
          <w:trHeight w:val="350"/>
        </w:trPr>
        <w:tc>
          <w:tcPr>
            <w:tcW w:w="1998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Attention (KQ2)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Caregivers</w:t>
            </w:r>
          </w:p>
        </w:tc>
        <w:tc>
          <w:tcPr>
            <w:tcW w:w="207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(+15% to +81%)</w:t>
            </w:r>
          </w:p>
        </w:tc>
        <w:tc>
          <w:tcPr>
            <w:tcW w:w="2700" w:type="dxa"/>
            <w:vAlign w:val="center"/>
          </w:tcPr>
          <w:p w:rsidR="00B25DDC" w:rsidRPr="008C55B6" w:rsidRDefault="00B25DDC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[0]: 1 (0</w:t>
            </w:r>
            <w:r w:rsidR="00152402">
              <w:rPr>
                <w:rFonts w:cs="Arial"/>
                <w:sz w:val="18"/>
                <w:szCs w:val="18"/>
              </w:rPr>
              <w:t>)</w:t>
            </w:r>
            <w:r w:rsidR="009669A5"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 w:rsidR="009669A5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 w:rsidR="009669A5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53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B25DDC" w:rsidRPr="008C55B6" w:rsidTr="00D64474">
        <w:trPr>
          <w:trHeight w:val="350"/>
        </w:trPr>
        <w:tc>
          <w:tcPr>
            <w:tcW w:w="1998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Sleep (KQ3)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070" w:type="dxa"/>
            <w:vAlign w:val="center"/>
          </w:tcPr>
          <w:p w:rsidR="00B25DDC" w:rsidRPr="008C55B6" w:rsidRDefault="00B25DDC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↑↓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3% to +24%)</w:t>
            </w:r>
          </w:p>
        </w:tc>
        <w:tc>
          <w:tcPr>
            <w:tcW w:w="2700" w:type="dxa"/>
            <w:vAlign w:val="center"/>
          </w:tcPr>
          <w:p w:rsidR="00B25DDC" w:rsidRPr="008C55B6" w:rsidRDefault="00B25DDC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[1]: 3 (3</w:t>
            </w:r>
            <w:r w:rsidR="000113B5">
              <w:rPr>
                <w:rFonts w:cs="Arial"/>
                <w:sz w:val="18"/>
                <w:szCs w:val="18"/>
              </w:rPr>
              <w:t>)</w:t>
            </w:r>
            <w:r w:rsidR="009669A5"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 w:rsidR="009669A5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 w:rsidR="009669A5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451</w:t>
            </w:r>
          </w:p>
        </w:tc>
        <w:tc>
          <w:tcPr>
            <w:tcW w:w="153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B25DDC" w:rsidRPr="008C55B6" w:rsidTr="00D64474">
        <w:trPr>
          <w:trHeight w:val="350"/>
        </w:trPr>
        <w:tc>
          <w:tcPr>
            <w:tcW w:w="1998" w:type="dxa"/>
            <w:vAlign w:val="center"/>
          </w:tcPr>
          <w:p w:rsidR="00B25DDC" w:rsidRPr="008C55B6" w:rsidRDefault="00B25DDC" w:rsidP="005049CC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Substance </w:t>
            </w:r>
            <w:r w:rsidR="005049CC">
              <w:rPr>
                <w:rFonts w:cs="Arial"/>
                <w:sz w:val="18"/>
                <w:szCs w:val="18"/>
              </w:rPr>
              <w:t>U</w:t>
            </w:r>
            <w:r w:rsidRPr="008C55B6">
              <w:rPr>
                <w:rFonts w:cs="Arial"/>
                <w:sz w:val="18"/>
                <w:szCs w:val="18"/>
              </w:rPr>
              <w:t>se (KQ3)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TM</w:t>
            </w:r>
            <w:r w:rsidR="009669A5">
              <w:rPr>
                <w:rFonts w:cs="Arial"/>
                <w:sz w:val="18"/>
                <w:szCs w:val="18"/>
              </w:rPr>
              <w:t xml:space="preserve"> (mantra)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CAD</w:t>
            </w:r>
          </w:p>
        </w:tc>
        <w:tc>
          <w:tcPr>
            <w:tcW w:w="207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 xml:space="preserve">Ø </w:t>
            </w:r>
          </w:p>
        </w:tc>
        <w:tc>
          <w:tcPr>
            <w:tcW w:w="2700" w:type="dxa"/>
            <w:vAlign w:val="center"/>
          </w:tcPr>
          <w:p w:rsidR="00B25DDC" w:rsidRPr="008C55B6" w:rsidRDefault="00B25DDC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[2]: 0 (0)</w:t>
            </w:r>
            <w:r w:rsidR="009669A5"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 w:rsidR="00E02122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 w:rsidR="00E02122"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201</w:t>
            </w:r>
          </w:p>
        </w:tc>
        <w:tc>
          <w:tcPr>
            <w:tcW w:w="153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Insufficient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 w:val="restart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Pain (KQ4)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Mindfulness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Select</w:t>
            </w:r>
            <w:r>
              <w:rPr>
                <w:rFonts w:cs="Arial"/>
                <w:sz w:val="18"/>
                <w:szCs w:val="18"/>
              </w:rPr>
              <w:t>ed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↑ (+5% to +31%)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4 [2]: 4 (4)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341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Moderate for ↑</w:t>
            </w:r>
          </w:p>
        </w:tc>
      </w:tr>
      <w:tr w:rsidR="00020F1D" w:rsidRPr="008C55B6" w:rsidTr="00D64474">
        <w:trPr>
          <w:trHeight w:val="350"/>
        </w:trPr>
        <w:tc>
          <w:tcPr>
            <w:tcW w:w="1998" w:type="dxa"/>
            <w:vMerge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0F1D" w:rsidRPr="008C55B6" w:rsidRDefault="00020F1D" w:rsidP="009669A5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TM (</w:t>
            </w:r>
            <w:r>
              <w:rPr>
                <w:rFonts w:cs="Arial"/>
                <w:sz w:val="18"/>
                <w:szCs w:val="18"/>
              </w:rPr>
              <w:t>m</w:t>
            </w:r>
            <w:r w:rsidRPr="008C55B6">
              <w:rPr>
                <w:rFonts w:cs="Arial"/>
                <w:sz w:val="18"/>
                <w:szCs w:val="18"/>
              </w:rPr>
              <w:t xml:space="preserve">antra) </w:t>
            </w:r>
          </w:p>
        </w:tc>
        <w:tc>
          <w:tcPr>
            <w:tcW w:w="126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CHF</w:t>
            </w:r>
          </w:p>
        </w:tc>
        <w:tc>
          <w:tcPr>
            <w:tcW w:w="2070" w:type="dxa"/>
            <w:vAlign w:val="center"/>
          </w:tcPr>
          <w:p w:rsidR="00020F1D" w:rsidRPr="008C55B6" w:rsidRDefault="00020F1D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Ø (</w:t>
            </w:r>
            <w:r w:rsidR="00FD2EA6">
              <w:rPr>
                <w:rFonts w:cs="Arial"/>
                <w:sz w:val="18"/>
                <w:szCs w:val="18"/>
              </w:rPr>
              <w:t>−</w:t>
            </w:r>
            <w:r w:rsidRPr="008C55B6">
              <w:rPr>
                <w:rFonts w:cs="Arial"/>
                <w:sz w:val="18"/>
                <w:szCs w:val="18"/>
              </w:rPr>
              <w:t>2%)</w:t>
            </w:r>
          </w:p>
        </w:tc>
        <w:tc>
          <w:tcPr>
            <w:tcW w:w="2700" w:type="dxa"/>
            <w:vAlign w:val="center"/>
          </w:tcPr>
          <w:p w:rsidR="00020F1D" w:rsidRPr="008C55B6" w:rsidRDefault="00020F1D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1 [2]: 1 (0)</w:t>
            </w:r>
            <w:r>
              <w:rPr>
                <w:rFonts w:cs="Arial"/>
                <w:sz w:val="18"/>
                <w:szCs w:val="18"/>
              </w:rPr>
              <w:t>;</w:t>
            </w:r>
            <w:r w:rsidR="00834108">
              <w:rPr>
                <w:rFonts w:cs="Arial"/>
                <w:sz w:val="18"/>
                <w:szCs w:val="18"/>
              </w:rPr>
              <w:tab/>
            </w:r>
            <w:r w:rsidRPr="008C55B6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=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55B6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530" w:type="dxa"/>
            <w:vAlign w:val="center"/>
          </w:tcPr>
          <w:p w:rsidR="00020F1D" w:rsidRPr="008C55B6" w:rsidRDefault="00020F1D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  <w:tr w:rsidR="00B25DDC" w:rsidRPr="008C55B6" w:rsidTr="00D64474">
        <w:trPr>
          <w:trHeight w:val="350"/>
        </w:trPr>
        <w:tc>
          <w:tcPr>
            <w:tcW w:w="1998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Weight (KQ4)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9669A5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eastAsia="Calibri" w:cs="Arial"/>
                <w:sz w:val="18"/>
                <w:szCs w:val="18"/>
              </w:rPr>
              <w:t>TM (</w:t>
            </w:r>
            <w:r w:rsidR="009669A5">
              <w:rPr>
                <w:rFonts w:eastAsia="Calibri" w:cs="Arial"/>
                <w:sz w:val="18"/>
                <w:szCs w:val="18"/>
              </w:rPr>
              <w:t>m</w:t>
            </w:r>
            <w:r w:rsidRPr="008C55B6">
              <w:rPr>
                <w:rFonts w:eastAsia="Calibri" w:cs="Arial"/>
                <w:sz w:val="18"/>
                <w:szCs w:val="18"/>
              </w:rPr>
              <w:t>antra)</w:t>
            </w:r>
          </w:p>
        </w:tc>
        <w:tc>
          <w:tcPr>
            <w:tcW w:w="126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Select</w:t>
            </w:r>
            <w:r w:rsidR="00C464E3">
              <w:rPr>
                <w:rFonts w:cs="Arial"/>
                <w:sz w:val="18"/>
                <w:szCs w:val="18"/>
              </w:rPr>
              <w:t>ed</w:t>
            </w:r>
          </w:p>
        </w:tc>
        <w:tc>
          <w:tcPr>
            <w:tcW w:w="2070" w:type="dxa"/>
            <w:vAlign w:val="center"/>
          </w:tcPr>
          <w:p w:rsidR="00B25DDC" w:rsidRPr="008C55B6" w:rsidRDefault="00B25DDC" w:rsidP="00FD2EA6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eastAsia="Calibri" w:cs="Arial"/>
                <w:sz w:val="18"/>
                <w:szCs w:val="18"/>
              </w:rPr>
              <w:t>Ø (</w:t>
            </w:r>
            <w:r w:rsidR="00FD2EA6">
              <w:rPr>
                <w:rFonts w:eastAsia="Calibri" w:cs="Arial"/>
                <w:sz w:val="18"/>
                <w:szCs w:val="18"/>
              </w:rPr>
              <w:t>−</w:t>
            </w:r>
            <w:r w:rsidRPr="008C55B6">
              <w:rPr>
                <w:rFonts w:eastAsia="Calibri" w:cs="Arial"/>
                <w:sz w:val="18"/>
                <w:szCs w:val="18"/>
              </w:rPr>
              <w:t>1% to +2%)</w:t>
            </w:r>
          </w:p>
        </w:tc>
        <w:tc>
          <w:tcPr>
            <w:tcW w:w="2700" w:type="dxa"/>
            <w:vAlign w:val="center"/>
          </w:tcPr>
          <w:p w:rsidR="00B25DDC" w:rsidRPr="008C55B6" w:rsidRDefault="00B25DDC" w:rsidP="00834108">
            <w:pPr>
              <w:tabs>
                <w:tab w:val="left" w:pos="1602"/>
              </w:tabs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eastAsia="Calibri" w:cs="Arial"/>
                <w:sz w:val="18"/>
                <w:szCs w:val="18"/>
              </w:rPr>
              <w:t>3 [0]: 2 (0)</w:t>
            </w:r>
            <w:r w:rsidR="00E02122">
              <w:rPr>
                <w:rFonts w:eastAsia="Calibri" w:cs="Arial"/>
                <w:sz w:val="18"/>
                <w:szCs w:val="18"/>
              </w:rPr>
              <w:t>;</w:t>
            </w:r>
            <w:r w:rsidR="00834108">
              <w:rPr>
                <w:rFonts w:eastAsia="Calibri" w:cs="Arial"/>
                <w:sz w:val="18"/>
                <w:szCs w:val="18"/>
              </w:rPr>
              <w:tab/>
            </w:r>
            <w:r w:rsidRPr="008C55B6">
              <w:rPr>
                <w:rFonts w:eastAsia="Calibri" w:cs="Arial"/>
                <w:sz w:val="18"/>
                <w:szCs w:val="18"/>
              </w:rPr>
              <w:t>N</w:t>
            </w:r>
            <w:r w:rsidR="00E02122">
              <w:rPr>
                <w:rFonts w:eastAsia="Calibri" w:cs="Arial"/>
                <w:sz w:val="18"/>
                <w:szCs w:val="18"/>
              </w:rPr>
              <w:t xml:space="preserve"> </w:t>
            </w:r>
            <w:r w:rsidRPr="008C55B6">
              <w:rPr>
                <w:rFonts w:eastAsia="Calibri" w:cs="Arial"/>
                <w:sz w:val="18"/>
                <w:szCs w:val="18"/>
              </w:rPr>
              <w:t>=</w:t>
            </w:r>
            <w:r w:rsidR="00E02122">
              <w:rPr>
                <w:rFonts w:eastAsia="Calibri" w:cs="Arial"/>
                <w:sz w:val="18"/>
                <w:szCs w:val="18"/>
              </w:rPr>
              <w:t xml:space="preserve"> </w:t>
            </w:r>
            <w:r w:rsidRPr="008C55B6">
              <w:rPr>
                <w:rFonts w:eastAsia="Calibri" w:cs="Arial"/>
                <w:sz w:val="18"/>
                <w:szCs w:val="18"/>
              </w:rPr>
              <w:t>297</w:t>
            </w:r>
          </w:p>
        </w:tc>
        <w:tc>
          <w:tcPr>
            <w:tcW w:w="1530" w:type="dxa"/>
            <w:vAlign w:val="center"/>
          </w:tcPr>
          <w:p w:rsidR="00B25DDC" w:rsidRPr="008C55B6" w:rsidRDefault="00B25DDC" w:rsidP="00D64474">
            <w:pPr>
              <w:ind w:firstLine="0"/>
              <w:rPr>
                <w:rFonts w:cs="Arial"/>
                <w:sz w:val="18"/>
                <w:szCs w:val="18"/>
              </w:rPr>
            </w:pPr>
            <w:r w:rsidRPr="008C55B6">
              <w:rPr>
                <w:rFonts w:cs="Arial"/>
                <w:sz w:val="18"/>
                <w:szCs w:val="18"/>
              </w:rPr>
              <w:t>Low for Ø</w:t>
            </w:r>
          </w:p>
        </w:tc>
      </w:tr>
    </w:tbl>
    <w:p w:rsidR="00B25DDC" w:rsidRPr="008C55B6" w:rsidRDefault="00B25DDC" w:rsidP="00B25DDC">
      <w:pPr>
        <w:ind w:firstLine="0"/>
        <w:rPr>
          <w:rFonts w:eastAsia="Calibri" w:cs="Arial"/>
          <w:sz w:val="20"/>
          <w:szCs w:val="20"/>
        </w:rPr>
      </w:pPr>
    </w:p>
    <w:p w:rsidR="00B524B2" w:rsidRPr="00D9404D" w:rsidRDefault="00475658" w:rsidP="001F0A1A">
      <w:pPr>
        <w:ind w:firstLine="0"/>
        <w:rPr>
          <w:rFonts w:cs="Arial"/>
          <w:b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C9F5732" wp14:editId="07E12343">
                <wp:simplePos x="0" y="0"/>
                <wp:positionH relativeFrom="column">
                  <wp:posOffset>-7086600</wp:posOffset>
                </wp:positionH>
                <wp:positionV relativeFrom="paragraph">
                  <wp:posOffset>4159250</wp:posOffset>
                </wp:positionV>
                <wp:extent cx="7035800" cy="1172210"/>
                <wp:effectExtent l="0" t="0" r="12700" b="27940"/>
                <wp:wrapNone/>
                <wp:docPr id="4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90A" w:rsidRPr="005E31FD" w:rsidRDefault="0027090A" w:rsidP="002F278B">
                            <w:pPr>
                              <w:pStyle w:val="TableNote"/>
                              <w:rPr>
                                <w:color w:val="000000"/>
                              </w:rPr>
                            </w:pPr>
                            <w:r>
                              <w:t>CAD = coronary artery disease; CHF = congestive heart failure; KQ = Key Question; MA = meta-analysis; PA = primary analysis;</w:t>
                            </w:r>
                            <w:r>
                              <w:br/>
                            </w:r>
                            <w:r w:rsidRPr="00B25DDC">
                              <w:t xml:space="preserve">PO = </w:t>
                            </w:r>
                            <w:r>
                              <w:t>n</w:t>
                            </w:r>
                            <w:r w:rsidRPr="00B25DDC">
                              <w:t xml:space="preserve">umber of trials in which this was a primary outcome for the trial; </w:t>
                            </w:r>
                            <w:r>
                              <w:t xml:space="preserve">SOE = strength of evidence; </w:t>
                            </w:r>
                            <w:r w:rsidRPr="00B25DDC">
                              <w:t>TM</w:t>
                            </w:r>
                            <w:r>
                              <w:t xml:space="preserve"> </w:t>
                            </w:r>
                            <w:r w:rsidRPr="00B25DDC">
                              <w:t>=</w:t>
                            </w:r>
                            <w:r>
                              <w:t xml:space="preserve"> t</w:t>
                            </w:r>
                            <w:r w:rsidRPr="00B25DDC">
                              <w:t xml:space="preserve">ranscendental </w:t>
                            </w:r>
                            <w:r>
                              <w:t>m</w:t>
                            </w:r>
                            <w:r w:rsidRPr="00B25DDC">
                              <w:t>editation</w:t>
                            </w:r>
                            <w:r>
                              <w:br/>
                            </w:r>
                            <w:r w:rsidRPr="00B25DDC">
                              <w:t xml:space="preserve">Meta-analysis figure shows Cohen’s d with the 95% </w:t>
                            </w:r>
                            <w:r>
                              <w:t>confidence interval.</w:t>
                            </w:r>
                            <w:r>
                              <w:br/>
                            </w:r>
                            <w:r w:rsidRPr="00B25DDC">
                              <w:rPr>
                                <w:color w:val="000000"/>
                              </w:rPr>
                              <w:t xml:space="preserve">* Summary effect size not shown due to concern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 w:rsidRPr="00B25DDC">
                              <w:rPr>
                                <w:color w:val="000000"/>
                              </w:rPr>
                              <w:t xml:space="preserve"> publication bias for this outcome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**</w:t>
                            </w:r>
                            <w:r w:rsidRPr="00B25DDC">
                              <w:rPr>
                                <w:color w:val="000000"/>
                              </w:rPr>
                              <w:t xml:space="preserve">Negative affect combines the outcomes of anxiety, depression, </w:t>
                            </w:r>
                            <w:r>
                              <w:rPr>
                                <w:color w:val="000000"/>
                              </w:rPr>
                              <w:t xml:space="preserve">and </w:t>
                            </w:r>
                            <w:r w:rsidRPr="00B25DDC">
                              <w:rPr>
                                <w:color w:val="000000"/>
                              </w:rPr>
                              <w:t>stress/distress, and is thus duplicative of those outcomes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 w:rsidRPr="00B25DDC">
                              <w:rPr>
                                <w:color w:val="000000"/>
                              </w:rPr>
                              <w:t>**</w:t>
                            </w:r>
                            <w:r>
                              <w:rPr>
                                <w:color w:val="000000"/>
                              </w:rPr>
                              <w:t>*</w:t>
                            </w:r>
                            <w:r w:rsidRPr="00B25DDC">
                              <w:rPr>
                                <w:color w:val="000000"/>
                              </w:rPr>
                              <w:t>We did not perform m</w:t>
                            </w:r>
                            <w:r w:rsidRPr="00B25DDC">
                              <w:t>eta-analysis on this outcome</w:t>
                            </w:r>
                            <w:r>
                              <w:t>,</w:t>
                            </w:r>
                            <w:r w:rsidRPr="00B25DDC">
                              <w:t xml:space="preserve"> since it would duplicate the anxiety meta-analysis for mantra.</w:t>
                            </w:r>
                            <w:r w:rsidRPr="00B25DDC">
                              <w:rPr>
                                <w:color w:val="000000"/>
                              </w:rPr>
                              <w:t xml:space="preserve"> Two additional trials could be added (on depression) but did not have usable data that could be added to the anxiety meta-analysis. Anxiety and depression are indirect measures of negative affect, and therefore resulted in a lower strength of evidence than for th</w:t>
                            </w:r>
                            <w:r>
                              <w:rPr>
                                <w:color w:val="000000"/>
                              </w:rPr>
                              <w:t>e outcome of mantra on anxiety.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-558pt;margin-top:327.5pt;width:554pt;height:92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" strokecolor="white">
                <v:textbox>
                  <w:txbxContent>
                    <w:p w:rsidR="0027090A" w:rsidRPr="005E31FD" w:rsidRDefault="0027090A" w:rsidP="002F278B">
                      <w:pPr>
                        <w:pStyle w:val="TableNote"/>
                        <w:rPr>
                          <w:color w:val="000000"/>
                        </w:rPr>
                      </w:pPr>
                      <w:r>
                        <w:t>CAD = coronary artery disease; CHF = congestive heart failure; KQ = Key Question; MA = meta-analysis; PA = primary analysis;</w:t>
                      </w:r>
                      <w:r>
                        <w:br/>
                      </w:r>
                      <w:r w:rsidRPr="00B25DDC">
                        <w:t xml:space="preserve">PO = </w:t>
                      </w:r>
                      <w:r>
                        <w:t>n</w:t>
                      </w:r>
                      <w:r w:rsidRPr="00B25DDC">
                        <w:t xml:space="preserve">umber of trials in which this was a primary outcome for the trial; </w:t>
                      </w:r>
                      <w:r>
                        <w:t xml:space="preserve">SOE = strength of evidence; </w:t>
                      </w:r>
                      <w:r w:rsidRPr="00B25DDC">
                        <w:t>TM</w:t>
                      </w:r>
                      <w:r>
                        <w:t xml:space="preserve"> </w:t>
                      </w:r>
                      <w:r w:rsidRPr="00B25DDC">
                        <w:t>=</w:t>
                      </w:r>
                      <w:r>
                        <w:t xml:space="preserve"> t</w:t>
                      </w:r>
                      <w:r w:rsidRPr="00B25DDC">
                        <w:t xml:space="preserve">ranscendental </w:t>
                      </w:r>
                      <w:r>
                        <w:t>m</w:t>
                      </w:r>
                      <w:r w:rsidRPr="00B25DDC">
                        <w:t>editation</w:t>
                      </w:r>
                      <w:r>
                        <w:br/>
                      </w:r>
                      <w:r w:rsidRPr="00B25DDC">
                        <w:t xml:space="preserve">Meta-analysis figure shows Cohen’s d with the 95% </w:t>
                      </w:r>
                      <w:r>
                        <w:t>confidence interval.</w:t>
                      </w:r>
                      <w:r>
                        <w:br/>
                      </w:r>
                      <w:r w:rsidRPr="00B25DDC">
                        <w:rPr>
                          <w:color w:val="000000"/>
                        </w:rPr>
                        <w:t xml:space="preserve">* Summary effect size not shown due to concern </w:t>
                      </w:r>
                      <w:r>
                        <w:rPr>
                          <w:color w:val="000000"/>
                        </w:rPr>
                        <w:t>about</w:t>
                      </w:r>
                      <w:r w:rsidRPr="00B25DDC">
                        <w:rPr>
                          <w:color w:val="000000"/>
                        </w:rPr>
                        <w:t xml:space="preserve"> publication bias for this outcome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</w:rPr>
                        <w:br/>
                        <w:t>**</w:t>
                      </w:r>
                      <w:r w:rsidRPr="00B25DDC">
                        <w:rPr>
                          <w:color w:val="000000"/>
                        </w:rPr>
                        <w:t xml:space="preserve">Negative affect combines the outcomes of anxiety, depression, </w:t>
                      </w:r>
                      <w:r>
                        <w:rPr>
                          <w:color w:val="000000"/>
                        </w:rPr>
                        <w:t xml:space="preserve">and </w:t>
                      </w:r>
                      <w:r w:rsidRPr="00B25DDC">
                        <w:rPr>
                          <w:color w:val="000000"/>
                        </w:rPr>
                        <w:t>stress/distress, and is thus duplicative of those outcomes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</w:rPr>
                        <w:br/>
                      </w:r>
                      <w:r w:rsidRPr="00B25DDC">
                        <w:rPr>
                          <w:color w:val="000000"/>
                        </w:rPr>
                        <w:t>**</w:t>
                      </w:r>
                      <w:r>
                        <w:rPr>
                          <w:color w:val="000000"/>
                        </w:rPr>
                        <w:t>*</w:t>
                      </w:r>
                      <w:r w:rsidRPr="00B25DDC">
                        <w:rPr>
                          <w:color w:val="000000"/>
                        </w:rPr>
                        <w:t>We did not perform m</w:t>
                      </w:r>
                      <w:r w:rsidRPr="00B25DDC">
                        <w:t>eta-analysis on this outcome</w:t>
                      </w:r>
                      <w:r>
                        <w:t>,</w:t>
                      </w:r>
                      <w:r w:rsidRPr="00B25DDC">
                        <w:t xml:space="preserve"> since it would duplicate the anxiety meta-analysis for mantra.</w:t>
                      </w:r>
                      <w:r w:rsidRPr="00B25DDC">
                        <w:rPr>
                          <w:color w:val="000000"/>
                        </w:rPr>
                        <w:t xml:space="preserve"> Two additional trials could be added (on depression) but did not have usable data that could be added to the anxiety meta-analysis. Anxiety and depression are indirect measures of negative affect, and therefore resulted in a lower strength of evidence than for th</w:t>
                      </w:r>
                      <w:r>
                        <w:rPr>
                          <w:color w:val="000000"/>
                        </w:rPr>
                        <w:t>e outcome of mantra on anxiety.</w:t>
                      </w:r>
                    </w:p>
                  </w:txbxContent>
                </v:textbox>
              </v:shape>
            </w:pict>
          </mc:Fallback>
        </mc:AlternateContent>
      </w:r>
      <w:r w:rsidR="00D40A37" w:rsidRPr="00D40A37">
        <w:rPr>
          <w:rFonts w:eastAsia="Calibri" w:cs="Arial"/>
          <w:noProof/>
          <w:sz w:val="20"/>
          <w:szCs w:val="20"/>
        </w:rPr>
        <w:drawing>
          <wp:inline distT="0" distB="0" distL="0" distR="0" wp14:anchorId="63126BD3" wp14:editId="54BF571E">
            <wp:extent cx="1650492" cy="4553712"/>
            <wp:effectExtent l="0" t="0" r="6985" b="0"/>
            <wp:docPr id="3" name="Picture 0" descr="Figure B1 shows summary across measurement domains of comparisons of meditation with non-specific active controls.  We show the meta-analytic effect sizes for each outcome which are listed below. Negative numbers favor meditation, and positive numbers favor control.&#10;Anxiety mindfulness: -0.40 (confidence interval  (CI) -0.71, -0.08)&#10;Anxiety mantra: -0.22 (-.49, +.04)&#10;Depression mindfulness: -.32 (-.66, +.01)&#10;Depression mantra: -.24 (-.70, +.21)&#10;Stress/distress mantra: -.26 (-.55, +.04)&#10;Negative affect mindfulness: -.34 (-.53, -.14)&#10;Positive affect mindfulness: -.31 (-.71, +.09)&#10;Quality of life mindfulness: -.28 (-.62, +.06)&#10;Sleep mindfulness: -.12 (-.37, +.14)&#10;Pain mindfulness: -.33 (-.62, -.03)&#10;" title="Figure B1. Summary across measurement domains of comparisons of meditation with nonspecific active contr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124--Figure B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92" cy="45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F0A1A">
        <w:rPr>
          <w:rFonts w:cs="Arial"/>
          <w:b/>
          <w:sz w:val="20"/>
          <w:szCs w:val="20"/>
        </w:rPr>
        <w:tab/>
      </w:r>
    </w:p>
    <w:sectPr w:rsidR="00B524B2" w:rsidRPr="00D9404D" w:rsidSect="001F0A1A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BD" w:rsidRDefault="00D03ABD" w:rsidP="002328A5">
      <w:r>
        <w:separator/>
      </w:r>
    </w:p>
  </w:endnote>
  <w:endnote w:type="continuationSeparator" w:id="0">
    <w:p w:rsidR="00D03ABD" w:rsidRDefault="00D03ABD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</w:t>
        </w:r>
        <w:r w:rsidR="00264AF1">
          <w:t>S</w:t>
        </w:r>
        <w:r>
          <w:t>-</w:t>
        </w:r>
        <w:r w:rsidR="00264AF1">
          <w:t>12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BD" w:rsidRDefault="00D03ABD" w:rsidP="002328A5">
      <w:r>
        <w:separator/>
      </w:r>
    </w:p>
  </w:footnote>
  <w:footnote w:type="continuationSeparator" w:id="0">
    <w:p w:rsidR="00D03ABD" w:rsidRDefault="00D03ABD" w:rsidP="0023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A1A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4AF1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3ABD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7457-35E0-4951-AE9C-FCC187E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1762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3</cp:revision>
  <cp:lastPrinted>2013-11-21T04:17:00Z</cp:lastPrinted>
  <dcterms:created xsi:type="dcterms:W3CDTF">2014-01-22T09:56:00Z</dcterms:created>
  <dcterms:modified xsi:type="dcterms:W3CDTF">2014-01-22T09:57:00Z</dcterms:modified>
</cp:coreProperties>
</file>