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384C41" w:rsidRDefault="00936C13" w:rsidP="00936C13">
      <w:pPr>
        <w:pStyle w:val="TableTitle"/>
        <w:pageBreakBefore/>
        <w:tabs>
          <w:tab w:val="left" w:pos="900"/>
        </w:tabs>
        <w:spacing w:after="20"/>
      </w:pPr>
      <w:bookmarkStart w:id="0" w:name="_Ref325153140"/>
      <w:bookmarkStart w:id="1" w:name="_Ref326679916"/>
      <w:bookmarkStart w:id="2" w:name="_Toc345083132"/>
      <w:bookmarkStart w:id="3" w:name="_Toc351988127"/>
      <w:bookmarkStart w:id="4" w:name="_Toc354402730"/>
      <w:bookmarkStart w:id="5" w:name="_Toc354402788"/>
      <w:bookmarkStart w:id="6" w:name="_Toc354402846"/>
      <w:r w:rsidRPr="00423840">
        <w:t xml:space="preserve">Table </w:t>
      </w:r>
      <w:r>
        <w:t>F15</w:t>
      </w:r>
      <w:bookmarkEnd w:id="0"/>
      <w:bookmarkEnd w:id="1"/>
      <w:r w:rsidRPr="00423840">
        <w:t>.</w:t>
      </w:r>
      <w:r>
        <w:t xml:space="preserve"> </w:t>
      </w:r>
      <w:r w:rsidRPr="00423840">
        <w:t>Key Question 2: quality of life</w:t>
      </w:r>
      <w:bookmarkEnd w:id="2"/>
      <w:bookmarkEnd w:id="3"/>
      <w:bookmarkEnd w:id="4"/>
      <w:bookmarkEnd w:id="5"/>
      <w:bookmarkEnd w:id="6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829"/>
        <w:gridCol w:w="2031"/>
        <w:gridCol w:w="2874"/>
        <w:gridCol w:w="1520"/>
        <w:gridCol w:w="1522"/>
        <w:gridCol w:w="1860"/>
        <w:gridCol w:w="1742"/>
      </w:tblGrid>
      <w:tr w:rsidR="00936C13" w:rsidRPr="00497459" w:rsidTr="00936C13">
        <w:trPr>
          <w:tblHeader/>
        </w:trPr>
        <w:tc>
          <w:tcPr>
            <w:tcW w:w="68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Study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715DA7" w:rsidRDefault="00936C13" w:rsidP="00936C13">
            <w:pPr>
              <w:pStyle w:val="TableColumnHead"/>
              <w:spacing w:before="40" w:after="40"/>
            </w:pPr>
            <w:r w:rsidRPr="00497459">
              <w:t>Group</w:t>
            </w:r>
          </w:p>
        </w:tc>
        <w:tc>
          <w:tcPr>
            <w:tcW w:w="107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Outcome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N at Pre</w:t>
            </w:r>
            <w:r>
              <w:noBreakHyphen/>
            </w:r>
            <w:r w:rsidRPr="00497459">
              <w:t>treatment/</w:t>
            </w:r>
            <w:r w:rsidRPr="00497459">
              <w:br/>
              <w:t>Total N in Group (%)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 xml:space="preserve">N at </w:t>
            </w:r>
            <w:r>
              <w:t>Final Follow</w:t>
            </w:r>
            <w:r w:rsidRPr="00497459">
              <w:t>up/</w:t>
            </w:r>
            <w:r w:rsidRPr="00497459">
              <w:br/>
              <w:t>Total N in Group (%)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EPC-Calculated Between-Group Effect </w:t>
            </w:r>
            <w:r w:rsidRPr="00497459">
              <w:t>Size</w:t>
            </w:r>
            <w:r>
              <w:t xml:space="preserve"> </w:t>
            </w:r>
            <w:r w:rsidRPr="00497459">
              <w:br/>
            </w:r>
            <w:r>
              <w:t>Odds Ratio (95% </w:t>
            </w:r>
            <w:r w:rsidRPr="00497459">
              <w:t>CI), p-Value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Author Reported Results</w:t>
            </w:r>
          </w:p>
        </w:tc>
      </w:tr>
      <w:tr w:rsidR="00936C13" w:rsidRPr="00497459" w:rsidTr="00936C13">
        <w:trPr>
          <w:trHeight w:val="594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Solomon and Draine, 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ACT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Subjective Quality of Life measure, Lehman’s Quality of Life Interview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The subjective quality of life variables were dropped from the discriminant analysis as they added very little to the model’s predictive power.</w:t>
            </w:r>
          </w:p>
        </w:tc>
      </w:tr>
      <w:tr w:rsidR="00936C13" w:rsidRPr="00497459" w:rsidTr="00936C13">
        <w:trPr>
          <w:trHeight w:val="593"/>
        </w:trPr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9941E0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9941E0" w:rsidRDefault="00936C13" w:rsidP="00936C13">
            <w:pPr>
              <w:pStyle w:val="TableLeftText"/>
              <w:spacing w:before="40" w:after="40"/>
            </w:pPr>
            <w:r>
              <w:t>Forensic intensive case management</w:t>
            </w:r>
          </w:p>
        </w:tc>
        <w:tc>
          <w:tcPr>
            <w:tcW w:w="1074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 w:rsidRPr="00741773">
              <w:t>Subjective Quality of Life measure, Lehman’s Quality of Life Interview</w:t>
            </w:r>
          </w:p>
        </w:tc>
        <w:tc>
          <w:tcPr>
            <w:tcW w:w="568" w:type="pct"/>
            <w:tcBorders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497459" w:rsidTr="00936C13">
        <w:trPr>
          <w:trHeight w:val="593"/>
        </w:trPr>
        <w:tc>
          <w:tcPr>
            <w:tcW w:w="684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9941E0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9941E0" w:rsidRDefault="00936C13" w:rsidP="00936C13">
            <w:pPr>
              <w:pStyle w:val="TableLeftText"/>
              <w:spacing w:before="40" w:after="40"/>
            </w:pPr>
            <w:r>
              <w:t>TAU</w:t>
            </w:r>
          </w:p>
        </w:tc>
        <w:tc>
          <w:tcPr>
            <w:tcW w:w="1074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 w:rsidRPr="00741773">
              <w:t>Subjective Quality of Life measure, Lehman’s Quality of Life Interview</w:t>
            </w:r>
          </w:p>
        </w:tc>
        <w:tc>
          <w:tcPr>
            <w:tcW w:w="568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69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651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</w:tr>
    </w:tbl>
    <w:p w:rsidR="00936C13" w:rsidRPr="006D53AC" w:rsidRDefault="00936C13" w:rsidP="00936C13">
      <w:pPr>
        <w:pStyle w:val="TableNote"/>
        <w:tabs>
          <w:tab w:val="left" w:pos="450"/>
        </w:tabs>
        <w:spacing w:before="60" w:after="600"/>
      </w:pPr>
      <w:r>
        <w:t>ACT=Assertive community treatment; CI=confidence interval; N=number; NA=not applicable; NR=not reported; TAU=t</w:t>
      </w:r>
      <w:r w:rsidRPr="006D53AC">
        <w:t>reatment as usual</w:t>
      </w:r>
    </w:p>
    <w:sectPr w:rsidR="00936C13" w:rsidRPr="006D53AC" w:rsidSect="00767120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88" w:rsidRDefault="00246B88">
      <w:r>
        <w:separator/>
      </w:r>
    </w:p>
  </w:endnote>
  <w:endnote w:type="continuationSeparator" w:id="0">
    <w:p w:rsidR="00246B88" w:rsidRDefault="0024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>
    <w:pPr>
      <w:pStyle w:val="PageNumber"/>
    </w:pPr>
    <w:r>
      <w:t>I-</w:t>
    </w:r>
    <w:fldSimple w:instr=" PAGE   \* MERGEFORMAT ">
      <w:r w:rsidR="008732A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67120" w:rsidP="00E41648">
    <w:pPr>
      <w:pStyle w:val="PageNumber"/>
    </w:pPr>
    <w:r>
      <w:t>F</w:t>
    </w:r>
    <w:r w:rsidR="00782280">
      <w:t>-</w:t>
    </w:r>
    <w:fldSimple w:instr=" PAGE   \* MERGEFORMAT ">
      <w:r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88" w:rsidRDefault="00246B88">
      <w:r>
        <w:separator/>
      </w:r>
    </w:p>
  </w:footnote>
  <w:footnote w:type="continuationSeparator" w:id="0">
    <w:p w:rsidR="00246B88" w:rsidRDefault="0024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4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6B9C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6B88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120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2AE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2EFE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A23B6-CAF3-4D41-8D25-15228821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2013-09-02T10:14:00Z</dcterms:created>
  <dcterms:modified xsi:type="dcterms:W3CDTF">2013-09-03T09:14:00Z</dcterms:modified>
</cp:coreProperties>
</file>