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BD4715" w:rsidRDefault="00936C13" w:rsidP="00936C13">
      <w:pPr>
        <w:pStyle w:val="TableTitle"/>
        <w:pageBreakBefore/>
        <w:tabs>
          <w:tab w:val="left" w:pos="900"/>
        </w:tabs>
        <w:spacing w:after="20"/>
      </w:pPr>
      <w:bookmarkStart w:id="0" w:name="_Ref325152751"/>
      <w:bookmarkStart w:id="1" w:name="_Ref326679659"/>
      <w:bookmarkStart w:id="2" w:name="_Ref325121497"/>
      <w:bookmarkStart w:id="3" w:name="_Toc345083131"/>
      <w:bookmarkStart w:id="4" w:name="_Toc351988126"/>
      <w:bookmarkStart w:id="5" w:name="_Toc354402729"/>
      <w:bookmarkStart w:id="6" w:name="_Toc354402787"/>
      <w:bookmarkStart w:id="7" w:name="_Toc354402845"/>
      <w:r w:rsidRPr="00FF79B5">
        <w:t xml:space="preserve">Table </w:t>
      </w:r>
      <w:r>
        <w:t>F14</w:t>
      </w:r>
      <w:bookmarkEnd w:id="0"/>
      <w:bookmarkEnd w:id="1"/>
      <w:r w:rsidRPr="00FF79B5">
        <w:t>.</w:t>
      </w:r>
      <w:r>
        <w:t xml:space="preserve"> </w:t>
      </w:r>
      <w:r w:rsidRPr="00FF79B5">
        <w:t xml:space="preserve">Key </w:t>
      </w:r>
      <w:r>
        <w:t>Q</w:t>
      </w:r>
      <w:r w:rsidRPr="00FF79B5">
        <w:t>uestion 2</w:t>
      </w:r>
      <w:r>
        <w:t>:</w:t>
      </w:r>
      <w:r w:rsidRPr="00FF79B5">
        <w:t xml:space="preserve"> </w:t>
      </w:r>
      <w:r>
        <w:t>s</w:t>
      </w:r>
      <w:r w:rsidRPr="00FF79B5">
        <w:t xml:space="preserve">ubstance </w:t>
      </w:r>
      <w:r>
        <w:t>u</w:t>
      </w:r>
      <w:r w:rsidRPr="00FF79B5">
        <w:t>se</w:t>
      </w:r>
      <w:bookmarkEnd w:id="2"/>
      <w:bookmarkEnd w:id="3"/>
      <w:bookmarkEnd w:id="4"/>
      <w:bookmarkEnd w:id="5"/>
      <w:bookmarkEnd w:id="6"/>
      <w:bookmarkEnd w:id="7"/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2183"/>
        <w:gridCol w:w="2379"/>
        <w:gridCol w:w="1739"/>
        <w:gridCol w:w="1587"/>
        <w:gridCol w:w="1710"/>
        <w:gridCol w:w="2242"/>
        <w:gridCol w:w="1538"/>
      </w:tblGrid>
      <w:tr w:rsidR="00936C13" w:rsidRPr="00A0477D" w:rsidTr="00936C13">
        <w:trPr>
          <w:cantSplit/>
          <w:trHeight w:val="20"/>
          <w:tblHeader/>
        </w:trPr>
        <w:tc>
          <w:tcPr>
            <w:tcW w:w="816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A0477D" w:rsidRDefault="00936C13" w:rsidP="00936C13">
            <w:pPr>
              <w:pStyle w:val="TableColumnHead"/>
              <w:spacing w:before="40" w:after="40"/>
            </w:pPr>
            <w:r w:rsidRPr="00A0477D">
              <w:t>Study</w:t>
            </w:r>
          </w:p>
        </w:tc>
        <w:tc>
          <w:tcPr>
            <w:tcW w:w="88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A0477D" w:rsidRDefault="00936C13" w:rsidP="00936C13">
            <w:pPr>
              <w:pStyle w:val="TableColumnHead"/>
              <w:spacing w:before="40" w:after="40"/>
            </w:pPr>
            <w:r w:rsidRPr="00A0477D">
              <w:t>Group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A0477D" w:rsidRDefault="00936C13" w:rsidP="00936C13">
            <w:pPr>
              <w:pStyle w:val="TableColumnHead"/>
              <w:spacing w:before="40" w:after="40"/>
            </w:pPr>
            <w:r w:rsidRPr="00A0477D">
              <w:t>Outcome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A0477D" w:rsidRDefault="00936C13" w:rsidP="00936C13">
            <w:pPr>
              <w:pStyle w:val="TableColumnHead"/>
              <w:spacing w:before="40" w:after="40"/>
            </w:pPr>
            <w:r>
              <w:t xml:space="preserve">N </w:t>
            </w:r>
            <w:r w:rsidRPr="00A0477D">
              <w:t>at Pre</w:t>
            </w:r>
            <w:r>
              <w:noBreakHyphen/>
            </w:r>
            <w:r w:rsidRPr="00A0477D">
              <w:t>treatment/</w:t>
            </w:r>
            <w:r w:rsidRPr="00A0477D">
              <w:br/>
              <w:t>Total N in Group (%)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A0477D" w:rsidRDefault="00936C13" w:rsidP="00936C13">
            <w:pPr>
              <w:pStyle w:val="TableColumnHead"/>
              <w:spacing w:before="40" w:after="40"/>
            </w:pPr>
            <w:r>
              <w:t>N at Final Follow</w:t>
            </w:r>
            <w:r w:rsidRPr="00A0477D">
              <w:t>up/</w:t>
            </w:r>
            <w:r w:rsidRPr="00A0477D">
              <w:br/>
              <w:t>Total N in Group (%)</w:t>
            </w:r>
          </w:p>
        </w:tc>
        <w:tc>
          <w:tcPr>
            <w:tcW w:w="838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A0477D" w:rsidRDefault="00936C13" w:rsidP="00936C13">
            <w:pPr>
              <w:pStyle w:val="TableColumnHead"/>
              <w:spacing w:before="40" w:after="40"/>
            </w:pPr>
            <w:r>
              <w:t>EPC-</w:t>
            </w:r>
            <w:r w:rsidRPr="00A0477D">
              <w:t>Calculated Between</w:t>
            </w:r>
            <w:r>
              <w:t>-</w:t>
            </w:r>
            <w:r w:rsidRPr="00A0477D">
              <w:t xml:space="preserve">Group Effect Size </w:t>
            </w:r>
            <w:r w:rsidRPr="00A0477D">
              <w:br/>
              <w:t>Odds Ratio (95% CI), p</w:t>
            </w:r>
            <w:r>
              <w:noBreakHyphen/>
            </w:r>
            <w:r w:rsidRPr="00A0477D">
              <w:t>Value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A0477D" w:rsidRDefault="00936C13" w:rsidP="00936C13">
            <w:pPr>
              <w:pStyle w:val="TableColumnHead"/>
              <w:spacing w:before="40" w:after="40"/>
            </w:pPr>
            <w:r w:rsidRPr="00A0477D">
              <w:t>Author Reported Results</w:t>
            </w:r>
          </w:p>
        </w:tc>
      </w:tr>
      <w:tr w:rsidR="00936C13" w:rsidRPr="00A0477D" w:rsidTr="00936C13">
        <w:trPr>
          <w:cantSplit/>
          <w:trHeight w:val="159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Johnson and Zlotnick, 2012</w:t>
            </w:r>
            <w:r w:rsidRPr="00C9293B">
              <w:rPr>
                <w:vertAlign w:val="superscript"/>
              </w:rPr>
              <w:t>35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IPT (19)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D12387" w:rsidRDefault="00936C13" w:rsidP="00936C13">
            <w:pPr>
              <w:pStyle w:val="TableLeftText"/>
              <w:spacing w:before="40" w:after="40"/>
            </w:pPr>
            <w:r>
              <w:t>Substance use relapse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6/19 (32%)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OR: 0.51 (0.14 to 1.92), p=0.32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There was no difference in the rates of relapse by study group.</w:t>
            </w:r>
          </w:p>
        </w:tc>
      </w:tr>
      <w:tr w:rsidR="00936C13" w:rsidRPr="00A0477D" w:rsidTr="00936C13">
        <w:trPr>
          <w:cantSplit/>
          <w:trHeight w:val="159"/>
        </w:trPr>
        <w:tc>
          <w:tcPr>
            <w:tcW w:w="8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Psychoeducation (19)</w:t>
            </w:r>
          </w:p>
        </w:tc>
        <w:tc>
          <w:tcPr>
            <w:tcW w:w="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D12387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93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639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9/19 (47%)</w:t>
            </w:r>
          </w:p>
        </w:tc>
        <w:tc>
          <w:tcPr>
            <w:tcW w:w="8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</w:tr>
      <w:tr w:rsidR="00936C13" w:rsidRPr="00A0477D" w:rsidTr="00936C13">
        <w:trPr>
          <w:cantSplit/>
          <w:trHeight w:val="20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Van Stelle and Moberg</w:t>
            </w:r>
            <w:r>
              <w:t xml:space="preserve">, </w:t>
            </w:r>
            <w:r w:rsidRPr="00A0477D">
              <w:t>200</w:t>
            </w:r>
            <w:r>
              <w:t>4</w:t>
            </w:r>
            <w:r w:rsidRPr="00C9293B">
              <w:rPr>
                <w:vertAlign w:val="superscript"/>
              </w:rPr>
              <w:t>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MICA therapeutic community in prison and in community following release from prison: (103)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D12387" w:rsidRDefault="00936C13" w:rsidP="00936C13">
            <w:pPr>
              <w:pStyle w:val="TableLeftText"/>
              <w:spacing w:before="40" w:after="40"/>
            </w:pPr>
            <w:r w:rsidRPr="00D12387">
              <w:t>Abstinence 3 months post release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NA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65</w:t>
            </w:r>
            <w:r>
              <w:t>/103</w:t>
            </w:r>
            <w:r w:rsidRPr="00A0477D">
              <w:t xml:space="preserve"> (63%)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OR 1.77 (0.91 to 3.44) p=0.09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Chi-square or one-way ANOVA significant at p&lt;0.01</w:t>
            </w:r>
          </w:p>
        </w:tc>
      </w:tr>
      <w:tr w:rsidR="00936C13" w:rsidRPr="00A0477D" w:rsidTr="00936C13">
        <w:trPr>
          <w:cantSplit/>
          <w:trHeight w:val="20"/>
        </w:trPr>
        <w:tc>
          <w:tcPr>
            <w:tcW w:w="8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T</w:t>
            </w:r>
            <w:r>
              <w:t>AU</w:t>
            </w:r>
            <w:r w:rsidRPr="00A0477D">
              <w:t xml:space="preserve"> (55)</w:t>
            </w:r>
          </w:p>
        </w:tc>
        <w:tc>
          <w:tcPr>
            <w:tcW w:w="650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D12387" w:rsidRDefault="00936C13" w:rsidP="00936C13">
            <w:pPr>
              <w:pStyle w:val="TableLeftText"/>
              <w:spacing w:before="40" w:after="40"/>
            </w:pPr>
            <w:r w:rsidRPr="00D12387">
              <w:t>Abstinence 3 months post release</w:t>
            </w:r>
          </w:p>
        </w:tc>
        <w:tc>
          <w:tcPr>
            <w:tcW w:w="593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NA</w:t>
            </w:r>
          </w:p>
        </w:tc>
        <w:tc>
          <w:tcPr>
            <w:tcW w:w="639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27</w:t>
            </w:r>
            <w:r>
              <w:t>/55</w:t>
            </w:r>
            <w:r w:rsidRPr="00A0477D">
              <w:t xml:space="preserve"> (49%)</w:t>
            </w:r>
          </w:p>
        </w:tc>
        <w:tc>
          <w:tcPr>
            <w:tcW w:w="8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</w:tr>
      <w:tr w:rsidR="00936C13" w:rsidRPr="00A0477D" w:rsidTr="00936C13">
        <w:trPr>
          <w:cantSplit/>
          <w:trHeight w:val="20"/>
        </w:trPr>
        <w:tc>
          <w:tcPr>
            <w:tcW w:w="8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MICA therapeutic community in prison and in community following release from prison: (103)</w:t>
            </w:r>
          </w:p>
        </w:tc>
        <w:tc>
          <w:tcPr>
            <w:tcW w:w="650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D12387" w:rsidRDefault="00936C13" w:rsidP="00936C13">
            <w:pPr>
              <w:pStyle w:val="TableLeftText"/>
              <w:spacing w:before="40" w:after="40"/>
            </w:pPr>
            <w:r w:rsidRPr="00D12387">
              <w:t>Positive urinalysis within 3 months post release</w:t>
            </w:r>
          </w:p>
        </w:tc>
        <w:tc>
          <w:tcPr>
            <w:tcW w:w="593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NA</w:t>
            </w:r>
          </w:p>
        </w:tc>
        <w:tc>
          <w:tcPr>
            <w:tcW w:w="639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12</w:t>
            </w:r>
            <w:r>
              <w:t>/103</w:t>
            </w:r>
            <w:r w:rsidRPr="00A0477D">
              <w:t xml:space="preserve"> (12%)</w:t>
            </w:r>
          </w:p>
        </w:tc>
        <w:tc>
          <w:tcPr>
            <w:tcW w:w="83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OR: 0.78 (.30 to 2.03) p=0.60</w:t>
            </w:r>
          </w:p>
        </w:tc>
        <w:tc>
          <w:tcPr>
            <w:tcW w:w="57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</w:tr>
      <w:tr w:rsidR="00936C13" w:rsidRPr="00A0477D" w:rsidTr="00936C13">
        <w:trPr>
          <w:cantSplit/>
          <w:trHeight w:val="20"/>
        </w:trPr>
        <w:tc>
          <w:tcPr>
            <w:tcW w:w="8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TAU</w:t>
            </w:r>
            <w:r w:rsidRPr="00A0477D">
              <w:t xml:space="preserve"> (55)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D12387" w:rsidRDefault="00936C13" w:rsidP="00936C13">
            <w:pPr>
              <w:pStyle w:val="TableLeftText"/>
              <w:spacing w:before="40" w:after="40"/>
            </w:pPr>
            <w:r w:rsidRPr="00D12387">
              <w:t>Positive urinalysis within 3 months post release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NA</w:t>
            </w: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8</w:t>
            </w:r>
            <w:r>
              <w:t>/55</w:t>
            </w:r>
            <w:r w:rsidRPr="00A0477D">
              <w:t xml:space="preserve"> (15%)</w:t>
            </w:r>
          </w:p>
        </w:tc>
        <w:tc>
          <w:tcPr>
            <w:tcW w:w="8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</w:tr>
      <w:tr w:rsidR="00936C13" w:rsidRPr="00A0477D" w:rsidTr="00936C13">
        <w:trPr>
          <w:cantSplit/>
          <w:trHeight w:val="20"/>
        </w:trPr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Solomon and Draine</w:t>
            </w:r>
            <w:r>
              <w:t>,</w:t>
            </w:r>
            <w:r w:rsidRPr="00A0477D">
              <w:t xml:space="preserve"> </w:t>
            </w:r>
            <w:r>
              <w:t>1995</w:t>
            </w:r>
            <w:r w:rsidRPr="00C9293B">
              <w:rPr>
                <w:vertAlign w:val="superscript"/>
              </w:rPr>
              <w:t>83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ACT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Alcohol scale of the Addiction Severity Index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NA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Could not be calculated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Alcohol scale of the Addiction Severity Index was dropped from the discriminant analysis as it added very little to the model’s predictive power.</w:t>
            </w:r>
          </w:p>
        </w:tc>
      </w:tr>
      <w:tr w:rsidR="00936C13" w:rsidRPr="00A0477D" w:rsidTr="00936C13">
        <w:trPr>
          <w:cantSplit/>
          <w:trHeight w:val="20"/>
        </w:trPr>
        <w:tc>
          <w:tcPr>
            <w:tcW w:w="8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Forensic intensive case management</w:t>
            </w:r>
          </w:p>
        </w:tc>
        <w:tc>
          <w:tcPr>
            <w:tcW w:w="650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Alcohol scale of the Addiction Severity Index</w:t>
            </w:r>
          </w:p>
        </w:tc>
        <w:tc>
          <w:tcPr>
            <w:tcW w:w="593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NA</w:t>
            </w:r>
          </w:p>
        </w:tc>
        <w:tc>
          <w:tcPr>
            <w:tcW w:w="6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</w:tr>
      <w:tr w:rsidR="00936C13" w:rsidRPr="00A0477D" w:rsidTr="00936C13">
        <w:trPr>
          <w:cantSplit/>
          <w:trHeight w:val="20"/>
        </w:trPr>
        <w:tc>
          <w:tcPr>
            <w:tcW w:w="816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TAU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Alcohol scale of the Addiction Severity Index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  <w:r w:rsidRPr="00A0477D">
              <w:t>NA</w:t>
            </w:r>
          </w:p>
        </w:tc>
        <w:tc>
          <w:tcPr>
            <w:tcW w:w="639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38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7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A0477D" w:rsidRDefault="00936C13" w:rsidP="00936C13">
            <w:pPr>
              <w:pStyle w:val="TableLeftText"/>
              <w:spacing w:before="40" w:after="40"/>
            </w:pPr>
          </w:p>
        </w:tc>
      </w:tr>
    </w:tbl>
    <w:p w:rsidR="00936C13" w:rsidRDefault="00936C13" w:rsidP="00936C13">
      <w:pPr>
        <w:pStyle w:val="TableNote"/>
        <w:tabs>
          <w:tab w:val="left" w:pos="630"/>
        </w:tabs>
        <w:spacing w:before="60" w:after="0"/>
      </w:pPr>
      <w:bookmarkStart w:id="8" w:name="_Ref325153140"/>
      <w:r>
        <w:t>ACT=Assertive community treatment; CI=confidence interval; IPT=interpersonal therapy; MICA=mentally ill chemical abuser; N=number; NA=not applicable; NR=not reported OR=odds ratio; TAU=treatment as usual</w:t>
      </w:r>
      <w:bookmarkEnd w:id="8"/>
    </w:p>
    <w:sectPr w:rsidR="00936C13" w:rsidSect="00747C2D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3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C1" w:rsidRDefault="001567C1">
      <w:r>
        <w:separator/>
      </w:r>
    </w:p>
  </w:endnote>
  <w:endnote w:type="continuationSeparator" w:id="0">
    <w:p w:rsidR="001567C1" w:rsidRDefault="0015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>
    <w:pPr>
      <w:pStyle w:val="PageNumber"/>
    </w:pPr>
    <w:r>
      <w:t>I-</w:t>
    </w:r>
    <w:fldSimple w:instr=" PAGE   \* MERGEFORMAT ">
      <w:r w:rsidR="00775B5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47C2D" w:rsidP="00E41648">
    <w:pPr>
      <w:pStyle w:val="PageNumber"/>
    </w:pPr>
    <w:r>
      <w:t>F</w:t>
    </w:r>
    <w:r w:rsidR="00782280">
      <w:t>-</w:t>
    </w:r>
    <w:fldSimple w:instr=" PAGE   \* MERGEFORMAT ">
      <w:r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C1" w:rsidRDefault="001567C1">
      <w:r>
        <w:separator/>
      </w:r>
    </w:p>
  </w:footnote>
  <w:footnote w:type="continuationSeparator" w:id="0">
    <w:p w:rsidR="001567C1" w:rsidRDefault="0015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67C1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26AC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57E1A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47C2D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5B50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4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21B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6CAF2-453C-457D-B8D8-F0F54536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2013-09-02T10:13:00Z</dcterms:created>
  <dcterms:modified xsi:type="dcterms:W3CDTF">2013-09-03T03:59:00Z</dcterms:modified>
</cp:coreProperties>
</file>