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Pr="00E44ACA" w:rsidRDefault="00936C13" w:rsidP="00A93396">
      <w:pPr>
        <w:pStyle w:val="Level1Heading"/>
        <w:rPr>
          <w:sz w:val="36"/>
          <w:szCs w:val="36"/>
        </w:rPr>
      </w:pPr>
      <w:r w:rsidRPr="00D443B5">
        <w:t>Key Question 2</w:t>
      </w:r>
    </w:p>
    <w:p w:rsidR="00936C13" w:rsidRPr="00E44ACA" w:rsidRDefault="00936C13" w:rsidP="00936C13">
      <w:pPr>
        <w:pStyle w:val="TableTitle"/>
        <w:tabs>
          <w:tab w:val="left" w:pos="360"/>
        </w:tabs>
        <w:spacing w:after="20"/>
        <w:ind w:left="-540"/>
      </w:pPr>
      <w:bookmarkStart w:id="0" w:name="_Ref325102436"/>
      <w:bookmarkStart w:id="1" w:name="_Toc345083113"/>
      <w:bookmarkStart w:id="2" w:name="_Toc351988108"/>
      <w:bookmarkStart w:id="3" w:name="_Toc354402711"/>
      <w:bookmarkStart w:id="4" w:name="_Toc354402769"/>
      <w:bookmarkStart w:id="5" w:name="_Toc354402827"/>
      <w:r w:rsidRPr="00382C08">
        <w:t xml:space="preserve">Table </w:t>
      </w:r>
      <w:r>
        <w:t>E6</w:t>
      </w:r>
      <w:bookmarkEnd w:id="0"/>
      <w:r w:rsidRPr="00382C08">
        <w:t>.</w:t>
      </w:r>
      <w:r>
        <w:t xml:space="preserve"> Key Question 2: general study c</w:t>
      </w:r>
      <w:r w:rsidRPr="00382C08">
        <w:t>haracteristics</w:t>
      </w:r>
      <w:bookmarkEnd w:id="1"/>
      <w:bookmarkEnd w:id="2"/>
      <w:bookmarkEnd w:id="3"/>
      <w:bookmarkEnd w:id="4"/>
      <w:bookmarkEnd w:id="5"/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372"/>
        <w:gridCol w:w="3658"/>
        <w:gridCol w:w="2070"/>
        <w:gridCol w:w="1349"/>
        <w:gridCol w:w="2629"/>
      </w:tblGrid>
      <w:tr w:rsidR="00936C13" w:rsidRPr="009941E0" w:rsidTr="00936C13">
        <w:trPr>
          <w:cantSplit/>
          <w:trHeight w:val="20"/>
          <w:jc w:val="center"/>
        </w:trPr>
        <w:tc>
          <w:tcPr>
            <w:tcW w:w="7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Study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Study Design</w:t>
            </w:r>
          </w:p>
        </w:tc>
        <w:tc>
          <w:tcPr>
            <w:tcW w:w="12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Number of Participants/Facilities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State/Country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Rural/Urban</w:t>
            </w:r>
          </w:p>
        </w:tc>
        <w:tc>
          <w:tcPr>
            <w:tcW w:w="9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36C13" w:rsidRPr="00062900" w:rsidRDefault="00936C13" w:rsidP="00936C13">
            <w:pPr>
              <w:pStyle w:val="TableColumnHead"/>
              <w:spacing w:before="40" w:after="40"/>
            </w:pPr>
            <w:r w:rsidRPr="00062900">
              <w:t>Treatment Setting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Johnson and Zlotnick, 2012</w:t>
            </w:r>
            <w:r w:rsidRPr="00C9293B">
              <w:rPr>
                <w:vertAlign w:val="superscript"/>
              </w:rPr>
              <w:t>35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RCT</w:t>
            </w:r>
          </w:p>
        </w:tc>
        <w:tc>
          <w:tcPr>
            <w:tcW w:w="1283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38 female inmates in a state prison with a diagnosis of major depressive disorder who were due to be released in the near future participated in this RCT.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Rhode Island/</w:t>
            </w:r>
            <w:r>
              <w:br/>
              <w:t>United States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auto"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Prison to 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Wenzlow et al.</w:t>
            </w:r>
            <w:r>
              <w:t>,</w:t>
            </w:r>
            <w:r w:rsidRPr="00062900">
              <w:t xml:space="preserve"> </w:t>
            </w:r>
            <w:r>
              <w:br/>
            </w:r>
            <w:r w:rsidRPr="00062900">
              <w:t>2011</w:t>
            </w:r>
            <w:r w:rsidRPr="00C9293B">
              <w:rPr>
                <w:vertAlign w:val="superscript"/>
              </w:rPr>
              <w:t>79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Nonrandomized comparative study using administrative data</w:t>
            </w:r>
          </w:p>
        </w:tc>
        <w:tc>
          <w:tcPr>
            <w:tcW w:w="1283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686 inmates released from Oklahoma State prisons between 2004 and 2008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Oklahoma/</w:t>
            </w:r>
            <w:r>
              <w:br/>
            </w:r>
            <w:r w:rsidRPr="00062900">
              <w:t>United States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22" w:type="pct"/>
            <w:tcBorders>
              <w:top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Prison to </w:t>
            </w:r>
            <w:r w:rsidRPr="00062900">
              <w:t>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Theurer and Lovell</w:t>
            </w:r>
            <w:r>
              <w:t>,</w:t>
            </w:r>
            <w:r w:rsidRPr="00062900">
              <w:t xml:space="preserve"> 2008</w:t>
            </w:r>
            <w:r w:rsidRPr="00C9293B">
              <w:rPr>
                <w:vertAlign w:val="superscript"/>
              </w:rPr>
              <w:t>78</w:t>
            </w:r>
          </w:p>
        </w:tc>
        <w:tc>
          <w:tcPr>
            <w:tcW w:w="83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Nonrandomized comparative study using matching</w:t>
            </w:r>
          </w:p>
        </w:tc>
        <w:tc>
          <w:tcPr>
            <w:tcW w:w="1283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64 State prisoners with SMI and 64</w:t>
            </w:r>
            <w:r>
              <w:t> </w:t>
            </w:r>
            <w:r w:rsidRPr="00062900">
              <w:t>matched controls, and a larger control group of offenders released at a prior time point with serious mental illness</w:t>
            </w:r>
          </w:p>
        </w:tc>
        <w:tc>
          <w:tcPr>
            <w:tcW w:w="726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Washington/</w:t>
            </w:r>
            <w:r>
              <w:br/>
            </w:r>
            <w:r w:rsidRPr="00062900">
              <w:t>United States</w:t>
            </w:r>
          </w:p>
        </w:tc>
        <w:tc>
          <w:tcPr>
            <w:tcW w:w="473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Urban</w:t>
            </w:r>
          </w:p>
        </w:tc>
        <w:tc>
          <w:tcPr>
            <w:tcW w:w="92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Prison </w:t>
            </w:r>
            <w:r w:rsidRPr="00062900">
              <w:t>to 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Coid et al.</w:t>
            </w:r>
            <w:r>
              <w:t>,</w:t>
            </w:r>
            <w:r w:rsidRPr="00062900">
              <w:t xml:space="preserve"> </w:t>
            </w:r>
            <w:r>
              <w:br/>
            </w:r>
            <w:r w:rsidRPr="00062900">
              <w:t>2007</w:t>
            </w:r>
            <w:r w:rsidRPr="00C9293B">
              <w:rPr>
                <w:vertAlign w:val="superscript"/>
              </w:rPr>
              <w:t>80</w:t>
            </w:r>
          </w:p>
        </w:tc>
        <w:tc>
          <w:tcPr>
            <w:tcW w:w="83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Nonrandomized comparative study using administrative data</w:t>
            </w:r>
          </w:p>
        </w:tc>
        <w:tc>
          <w:tcPr>
            <w:tcW w:w="1283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1</w:t>
            </w:r>
            <w:r>
              <w:t>,</w:t>
            </w:r>
            <w:r w:rsidRPr="00062900">
              <w:t>061 patients treated in medium-security forensic unit of a psychiatric hospital followed by psychiatric service upon release. The services were either provided by forensic specialists or by generalist MH care providers.</w:t>
            </w:r>
          </w:p>
        </w:tc>
        <w:tc>
          <w:tcPr>
            <w:tcW w:w="726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England and Wales/</w:t>
            </w:r>
            <w:r>
              <w:t xml:space="preserve"> United </w:t>
            </w:r>
            <w:r w:rsidRPr="00062900">
              <w:t>Kingdom</w:t>
            </w:r>
          </w:p>
        </w:tc>
        <w:tc>
          <w:tcPr>
            <w:tcW w:w="473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Both</w:t>
            </w:r>
          </w:p>
        </w:tc>
        <w:tc>
          <w:tcPr>
            <w:tcW w:w="922" w:type="pct"/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Forensic unit of a psychiatric hospital </w:t>
            </w:r>
            <w:r w:rsidRPr="00062900">
              <w:t>to 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Chandler and Spicer</w:t>
            </w:r>
            <w:r>
              <w:t>,</w:t>
            </w:r>
            <w:r w:rsidRPr="00062900">
              <w:t xml:space="preserve"> 2006</w:t>
            </w:r>
            <w:r w:rsidRPr="00C9293B">
              <w:rPr>
                <w:vertAlign w:val="superscript"/>
              </w:rPr>
              <w:t>81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RCT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Jail followed by high</w:t>
            </w:r>
            <w:r>
              <w:t>-</w:t>
            </w:r>
            <w:r w:rsidRPr="00062900">
              <w:t>fidelity IDDT (N</w:t>
            </w:r>
            <w:r>
              <w:t>=</w:t>
            </w:r>
            <w:r w:rsidRPr="00062900">
              <w:t>103) vs. jail followed by TAU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California/</w:t>
            </w:r>
            <w:r>
              <w:br/>
            </w:r>
            <w:r w:rsidRPr="00062900">
              <w:t>United States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Urban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Jail </w:t>
            </w:r>
            <w:r w:rsidRPr="00062900">
              <w:t>-to-community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Van Stelle and Moberg</w:t>
            </w:r>
            <w:r>
              <w:t>,</w:t>
            </w:r>
            <w:r w:rsidRPr="00062900">
              <w:t xml:space="preserve"> 200</w:t>
            </w:r>
            <w:r>
              <w:t>4</w:t>
            </w:r>
            <w:r w:rsidRPr="00C9293B">
              <w:rPr>
                <w:vertAlign w:val="superscript"/>
              </w:rPr>
              <w:t>82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Nonrandomized comparative study using administrative data; all subjects were eligible for the treatment being studied.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 xml:space="preserve">212 </w:t>
            </w:r>
            <w:r>
              <w:t xml:space="preserve">prisoners with </w:t>
            </w:r>
            <w:r w:rsidRPr="00062900">
              <w:t>dual diagnose</w:t>
            </w:r>
            <w:r>
              <w:t xml:space="preserve">s </w:t>
            </w:r>
            <w:r w:rsidRPr="00062900">
              <w:t xml:space="preserve">were enrolled in the therapeutic community and from October 1997 through September 2001. 66 </w:t>
            </w:r>
            <w:r>
              <w:t xml:space="preserve">prisoners with </w:t>
            </w:r>
            <w:r w:rsidRPr="00062900">
              <w:t>dual diagnose</w:t>
            </w:r>
            <w:r>
              <w:t>s who had</w:t>
            </w:r>
            <w:r w:rsidRPr="00062900">
              <w:t xml:space="preserve"> less than 18 months left on their sentence, but who qualified for therapeutic community acted as a comparison group. All prisoners were felons.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Wisconsin/</w:t>
            </w:r>
            <w:r>
              <w:br/>
            </w:r>
            <w:r w:rsidRPr="00062900">
              <w:t>United States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NR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 xml:space="preserve">Prison </w:t>
            </w:r>
            <w:r w:rsidRPr="00062900">
              <w:t>to community</w:t>
            </w:r>
          </w:p>
        </w:tc>
      </w:tr>
      <w:tr w:rsidR="00936C13" w:rsidRPr="00BF2703" w:rsidTr="00936C13">
        <w:trPr>
          <w:cantSplit/>
          <w:trHeight w:val="20"/>
          <w:jc w:val="center"/>
        </w:trPr>
        <w:tc>
          <w:tcPr>
            <w:tcW w:w="764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Solomon and Draine</w:t>
            </w:r>
            <w:r>
              <w:t>,</w:t>
            </w:r>
            <w:r w:rsidRPr="00062900">
              <w:t xml:space="preserve"> </w:t>
            </w:r>
            <w:r>
              <w:t>1995</w:t>
            </w:r>
            <w:r w:rsidRPr="00C9293B">
              <w:rPr>
                <w:vertAlign w:val="superscript"/>
              </w:rPr>
              <w:t>83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RCT</w:t>
            </w:r>
          </w:p>
        </w:tc>
        <w:tc>
          <w:tcPr>
            <w:tcW w:w="1283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200 inmates of a large urban city jail were randomized. 176 of these were eligible to participate in this RCT.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Pennsylvania/USA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 w:rsidRPr="00062900">
              <w:t>Urban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shd w:val="clear" w:color="auto" w:fill="auto"/>
          </w:tcPr>
          <w:p w:rsidR="00936C13" w:rsidRPr="00062900" w:rsidRDefault="00936C13" w:rsidP="00936C13">
            <w:pPr>
              <w:pStyle w:val="TableLeftText"/>
              <w:spacing w:before="40" w:after="40"/>
            </w:pPr>
            <w:r>
              <w:t xml:space="preserve">Jail </w:t>
            </w:r>
            <w:r w:rsidRPr="00062900">
              <w:t>to community</w:t>
            </w:r>
          </w:p>
        </w:tc>
      </w:tr>
    </w:tbl>
    <w:p w:rsidR="00C9293B" w:rsidRDefault="00936C13" w:rsidP="00545F0C">
      <w:pPr>
        <w:pStyle w:val="TableNote"/>
        <w:tabs>
          <w:tab w:val="left" w:pos="540"/>
        </w:tabs>
        <w:spacing w:before="60" w:after="0"/>
        <w:ind w:left="-540"/>
      </w:pPr>
      <w:r w:rsidRPr="00C2642E">
        <w:t>IDDT</w:t>
      </w:r>
      <w:r>
        <w:t>=I</w:t>
      </w:r>
      <w:r w:rsidRPr="00C2642E">
        <w:t>nte</w:t>
      </w:r>
      <w:r>
        <w:t>grated</w:t>
      </w:r>
      <w:r w:rsidRPr="00C2642E">
        <w:t xml:space="preserve"> dual </w:t>
      </w:r>
      <w:r>
        <w:t>diagnosis</w:t>
      </w:r>
      <w:r w:rsidRPr="00C2642E">
        <w:t xml:space="preserve"> treatment; </w:t>
      </w:r>
      <w:r>
        <w:t xml:space="preserve">MH=mental health; NR=not reported; RCT=randomized controlled trial; SMI=serious mental illness; </w:t>
      </w:r>
      <w:r w:rsidRPr="00C2642E">
        <w:t>TAU</w:t>
      </w:r>
      <w:r>
        <w:t>=</w:t>
      </w:r>
      <w:r w:rsidRPr="00C2642E">
        <w:t>treatment as usual</w:t>
      </w:r>
    </w:p>
    <w:sectPr w:rsidR="00C9293B" w:rsidSect="00BC404A">
      <w:footerReference w:type="default" r:id="rId11"/>
      <w:footerReference w:type="first" r:id="rId12"/>
      <w:pgSz w:w="15840" w:h="12240" w:orient="landscape" w:code="1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C5" w:rsidRDefault="00DB56C5">
      <w:r>
        <w:separator/>
      </w:r>
    </w:p>
  </w:endnote>
  <w:endnote w:type="continuationSeparator" w:id="0">
    <w:p w:rsidR="00DB56C5" w:rsidRDefault="00DB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545F0C">
    <w:pPr>
      <w:pStyle w:val="PageNumber"/>
    </w:pPr>
    <w:r>
      <w:t>E</w:t>
    </w:r>
    <w:r w:rsidR="00782280">
      <w:t>-</w:t>
    </w:r>
    <w:fldSimple w:instr=" PAGE   \* MERGEFORMAT ">
      <w:r w:rsidR="00BC404A">
        <w:rPr>
          <w:noProof/>
        </w:rPr>
        <w:t>31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C5" w:rsidRDefault="00DB56C5">
      <w:r>
        <w:separator/>
      </w:r>
    </w:p>
  </w:footnote>
  <w:footnote w:type="continuationSeparator" w:id="0">
    <w:p w:rsidR="00DB56C5" w:rsidRDefault="00DB5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4EE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5F0C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19C3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1E9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04A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68A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56C5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F7082-C604-472E-A32E-7308288B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3</cp:revision>
  <cp:lastPrinted>2013-08-14T19:00:00Z</cp:lastPrinted>
  <dcterms:created xsi:type="dcterms:W3CDTF">2013-09-02T10:03:00Z</dcterms:created>
  <dcterms:modified xsi:type="dcterms:W3CDTF">2013-09-02T10:48:00Z</dcterms:modified>
</cp:coreProperties>
</file>