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25" w:rsidRDefault="007F4B25" w:rsidP="00A72221">
      <w:pPr>
        <w:spacing w:line="276" w:lineRule="auto"/>
        <w:rPr>
          <w:rFonts w:ascii="Arial" w:hAnsi="Arial"/>
          <w:b/>
        </w:rPr>
      </w:pPr>
    </w:p>
    <w:p w:rsidR="00A72221" w:rsidRPr="00C93489" w:rsidRDefault="00A72221" w:rsidP="00A72221">
      <w:pPr>
        <w:spacing w:line="276" w:lineRule="auto"/>
        <w:rPr>
          <w:rFonts w:ascii="Arial" w:hAnsi="Arial"/>
          <w:b/>
        </w:rPr>
      </w:pPr>
      <w:proofErr w:type="gramStart"/>
      <w:r w:rsidRPr="00C93489">
        <w:rPr>
          <w:rFonts w:ascii="Arial" w:hAnsi="Arial"/>
          <w:b/>
        </w:rPr>
        <w:t xml:space="preserve">Evidence Table </w:t>
      </w:r>
      <w:proofErr w:type="spellStart"/>
      <w:r w:rsidRPr="00C93489">
        <w:rPr>
          <w:rFonts w:ascii="Arial" w:hAnsi="Arial"/>
          <w:b/>
        </w:rPr>
        <w:t>4d</w:t>
      </w:r>
      <w:proofErr w:type="spellEnd"/>
      <w:r w:rsidRPr="00C93489">
        <w:rPr>
          <w:rFonts w:ascii="Arial" w:hAnsi="Arial"/>
          <w:b/>
        </w:rPr>
        <w:t>.</w:t>
      </w:r>
      <w:proofErr w:type="gramEnd"/>
      <w:r w:rsidRPr="00C93489">
        <w:rPr>
          <w:rFonts w:ascii="Arial" w:hAnsi="Arial"/>
          <w:b/>
        </w:rPr>
        <w:t xml:space="preserve"> Intermediate outcomes for diet intervention studies taking place in a school only setting</w:t>
      </w:r>
    </w:p>
    <w:tbl>
      <w:tblPr>
        <w:tblW w:w="527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1192"/>
        <w:gridCol w:w="1317"/>
        <w:gridCol w:w="1934"/>
        <w:gridCol w:w="1982"/>
        <w:gridCol w:w="1081"/>
        <w:gridCol w:w="1889"/>
        <w:gridCol w:w="1889"/>
        <w:gridCol w:w="4591"/>
      </w:tblGrid>
      <w:tr w:rsidR="00A72221" w:rsidRPr="00C93489" w:rsidTr="0072080A">
        <w:trPr>
          <w:tblHeader/>
        </w:trPr>
        <w:tc>
          <w:tcPr>
            <w:tcW w:w="698" w:type="pct"/>
            <w:tcBorders>
              <w:bottom w:val="single" w:sz="4" w:space="0" w:color="auto"/>
            </w:tcBorders>
            <w:shd w:val="clear" w:color="auto" w:fill="auto"/>
            <w:noWrap/>
            <w:vAlign w:val="bottom"/>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Author, Year</w:t>
            </w:r>
          </w:p>
        </w:tc>
        <w:tc>
          <w:tcPr>
            <w:tcW w:w="323"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Arm</w:t>
            </w:r>
          </w:p>
        </w:tc>
        <w:tc>
          <w:tcPr>
            <w:tcW w:w="357"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Baseline N</w:t>
            </w:r>
          </w:p>
        </w:tc>
        <w:tc>
          <w:tcPr>
            <w:tcW w:w="524"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Baseline measure, mean (SD)</w:t>
            </w:r>
          </w:p>
        </w:tc>
        <w:tc>
          <w:tcPr>
            <w:tcW w:w="537"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 xml:space="preserve">Final measure </w:t>
            </w:r>
            <w:proofErr w:type="spellStart"/>
            <w:r w:rsidRPr="00C93489">
              <w:rPr>
                <w:rFonts w:ascii="Arial" w:hAnsi="Arial" w:cs="Arial"/>
                <w:b/>
                <w:bCs/>
                <w:color w:val="000000"/>
                <w:sz w:val="18"/>
                <w:szCs w:val="18"/>
              </w:rPr>
              <w:t>timepoint</w:t>
            </w:r>
            <w:proofErr w:type="spellEnd"/>
          </w:p>
        </w:tc>
        <w:tc>
          <w:tcPr>
            <w:tcW w:w="293"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N at final measure</w:t>
            </w:r>
          </w:p>
        </w:tc>
        <w:tc>
          <w:tcPr>
            <w:tcW w:w="512"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Final follow up measure, mean (SD)</w:t>
            </w:r>
          </w:p>
        </w:tc>
        <w:tc>
          <w:tcPr>
            <w:tcW w:w="512"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Mean Change from baseline (SD)</w:t>
            </w:r>
          </w:p>
        </w:tc>
        <w:tc>
          <w:tcPr>
            <w:tcW w:w="1244" w:type="pct"/>
            <w:tcBorders>
              <w:bottom w:val="single" w:sz="4" w:space="0" w:color="auto"/>
            </w:tcBorders>
            <w:shd w:val="clear" w:color="auto" w:fill="auto"/>
            <w:vAlign w:val="bottom"/>
          </w:tcPr>
          <w:p w:rsidR="00A72221" w:rsidRPr="00C93489" w:rsidRDefault="00A72221" w:rsidP="0072080A">
            <w:pPr>
              <w:spacing w:line="276" w:lineRule="auto"/>
              <w:rPr>
                <w:rFonts w:ascii="Arial" w:hAnsi="Arial" w:cs="Arial"/>
                <w:b/>
                <w:bCs/>
                <w:color w:val="000000"/>
                <w:sz w:val="18"/>
                <w:szCs w:val="18"/>
              </w:rPr>
            </w:pPr>
            <w:r w:rsidRPr="00C93489">
              <w:rPr>
                <w:rFonts w:ascii="Arial" w:hAnsi="Arial" w:cs="Arial"/>
                <w:b/>
                <w:bCs/>
                <w:color w:val="000000"/>
                <w:sz w:val="18"/>
                <w:szCs w:val="18"/>
              </w:rPr>
              <w:t>Measure of association</w:t>
            </w:r>
          </w:p>
        </w:tc>
      </w:tr>
      <w:tr w:rsidR="00A72221" w:rsidRPr="00C93489" w:rsidTr="0072080A">
        <w:tc>
          <w:tcPr>
            <w:tcW w:w="698" w:type="pct"/>
            <w:tcBorders>
              <w:right w:val="nil"/>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Change in carbonated drink consumption</w:t>
            </w:r>
          </w:p>
        </w:tc>
        <w:tc>
          <w:tcPr>
            <w:tcW w:w="323"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357"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24"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37"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293"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left w:val="nil"/>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1244" w:type="pct"/>
            <w:tcBorders>
              <w:lef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James, 2004</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21</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ÿ\11\05‘\19\02\00\00\00\0221\01\01\00\02\00\00\01\00\00\00\00\00\00\00\00\00\00H™Í\008\00\00\00\01\00\00\008\00\00\00Ðã\00\008\00\00\00AU\00\00C:\5CDocuments and Settings\5Crewilson\5CDesktop\5CCurrent CER dateabases\5CChild Obesity Database_All Searches Deduped Final_12MAR12.pdt!James, Thomas, et al. 2004 #24829\00!\00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21</w:t>
            </w:r>
            <w:r w:rsidR="005A215D">
              <w:rPr>
                <w:rFonts w:ascii="Arial" w:hAnsi="Arial" w:cs="Arial"/>
                <w:color w:val="000000"/>
                <w:sz w:val="18"/>
                <w:szCs w:val="18"/>
              </w:rPr>
              <w:fldChar w:fldCharType="end"/>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1.6 (0.6)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52 weeks</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NR</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1.8 (0.6)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0.2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-0.2 to 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0.7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0.1 to 1.3</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P=0.4</w:t>
            </w: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tcBorders>
              <w:top w:val="single" w:sz="4" w:space="0" w:color="auto"/>
              <w:left w:val="single" w:sz="4" w:space="0" w:color="auto"/>
              <w:bottom w:val="single" w:sz="4" w:space="0" w:color="auto"/>
              <w:right w:val="nil"/>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Change in energy intake (% sugar)</w:t>
            </w:r>
          </w:p>
        </w:tc>
        <w:tc>
          <w:tcPr>
            <w:tcW w:w="32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35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24"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3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29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1244" w:type="pct"/>
            <w:tcBorders>
              <w:top w:val="single" w:sz="4" w:space="0" w:color="auto"/>
              <w:left w:val="nil"/>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ÿ\11\05‘\19\02\00\00\00\0254\01\01\00\02\00\00\01\00\00\00\00\00\00\00\00\00\00€™Í\008\00\00\00\01\00\00\008\00\00\00Ðã\00\008\00\00\00‰8\00\00C:\5CDocuments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r w:rsidRPr="00C93489">
              <w:rPr>
                <w:rFonts w:ascii="Arial" w:hAnsi="Arial" w:cs="Arial"/>
                <w:color w:val="000000"/>
                <w:sz w:val="18"/>
                <w:szCs w:val="18"/>
              </w:rPr>
              <w:t>*</w:t>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22.8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22.1, 23.5)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Reported as “About 9 months”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21.2, 22.7)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Among males, there was a decrease in sugar intake significantly different from control in both fitness groups (intervention 1 and 2) and in the school and home nutrition group (intervention 4). No p-values given.</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21.7</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20.0, 23.3)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21.4, 25.3)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21.8, 25.3)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19.4, 22.8)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21.3, 25.3)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20.9</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18.9, 22.8)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20.1, 23.2)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22.5</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20.8, 24.2)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0.8</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24.3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22.5, 26.1)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21.5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19.7, 23.3)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-2.8</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sugar intake in males vs. females – 4.2 (95% CI: 2.1, 6.1)</w:t>
            </w: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22.6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21.0, 24.1)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22.4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20.7, 24.1)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sugar intake in males vs. females – 4.1 (95% CI: 2.2, 5.9)</w:t>
            </w: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ÿ\11\05‘\19\02\00\00\00\0254\01\01\00\02\00\00\01\00\00\00\00\00\00\00\00\00\00¸™Í\008\00\00\00\01\00\00\008\00\00\00Ðã\00\008\00\00\00‰8\00\00C:\5CDocuments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Female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23.1, 24.5)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Reported as “About 9 months”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(but baseline – </w:t>
            </w:r>
            <w:r w:rsidRPr="00C93489">
              <w:rPr>
                <w:rFonts w:ascii="Arial" w:hAnsi="Arial" w:cs="Arial"/>
                <w:bCs/>
                <w:color w:val="000000"/>
                <w:sz w:val="18"/>
                <w:szCs w:val="18"/>
              </w:rPr>
              <w:lastRenderedPageBreak/>
              <w:t>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lastRenderedPageBreak/>
              <w:t>*446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21.2, 22.6)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-1.9</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Among females, there was no significant decrease in sugar intake from control; all groups except for the two home nutrition groups (intervention 4 and 5) </w:t>
            </w:r>
            <w:r w:rsidRPr="00C93489">
              <w:rPr>
                <w:rFonts w:ascii="Arial" w:hAnsi="Arial" w:cs="Arial"/>
                <w:bCs/>
                <w:color w:val="000000"/>
                <w:sz w:val="18"/>
                <w:szCs w:val="18"/>
              </w:rPr>
              <w:lastRenderedPageBreak/>
              <w:t xml:space="preserve">decreased in sugar intake. In the 2 home nutrition groups, sugar intake tended to increase. No p-values given. </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22.6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21.0, 24.4)</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19.5, 22.6)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21.6, 23.6)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20.4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18.8, 22.0)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-3.06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24.3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22.3, 26.2)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20.9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18.9, 22.8)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21.9, 25.5)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21.5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(95% CI: 29.9, 23.1) typo, but what it says in the table (table 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25.2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23.4, 27.1)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19.7, 23.1)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22.2, 25.7)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23.9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21.6, 25.9)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tcBorders>
              <w:top w:val="single" w:sz="4" w:space="0" w:color="auto"/>
              <w:left w:val="single" w:sz="4" w:space="0" w:color="auto"/>
              <w:bottom w:val="single" w:sz="4" w:space="0" w:color="auto"/>
              <w:right w:val="nil"/>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Change in energy intake (% total fat)</w:t>
            </w:r>
          </w:p>
        </w:tc>
        <w:tc>
          <w:tcPr>
            <w:tcW w:w="32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35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24"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3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29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1244" w:type="pct"/>
            <w:tcBorders>
              <w:top w:val="single" w:sz="4" w:space="0" w:color="auto"/>
              <w:left w:val="nil"/>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ÿ\11\05‘\19\02\00\00\00\0254\01\01\00\02\00\00\01\00\00\00\00\00\00\00\00\00\00\004Q\018\00\00\00\01\00\00\008\00\00\00Ðã\00\008\00\00\00‰8\00\00C:\5CDocuments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32.7, 33.7)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Reported as “About 9 months”</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33.7</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33.1, 34.3)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Among males, following the intervention, the %fat, controlling for baseline, increased in each group relative to controls but changes were not significantly different from controls.</w:t>
            </w:r>
          </w:p>
          <w:p w:rsidR="00A72221" w:rsidRPr="00C93489" w:rsidRDefault="00A72221" w:rsidP="0072080A">
            <w:pPr>
              <w:spacing w:line="276" w:lineRule="auto"/>
              <w:rPr>
                <w:rFonts w:ascii="Arial" w:hAnsi="Arial" w:cs="Arial"/>
                <w:bCs/>
                <w:color w:val="000000"/>
                <w:sz w:val="18"/>
                <w:szCs w:val="18"/>
              </w:rPr>
            </w:pP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ANOVA showed significant differences (P&lt;0.05) between treatment groups at baseline for total fat (% energy)</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32.7, 33.7)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31.5, 34.9)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32.5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31.3, 33.7)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32.3, 35.0)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32.4, 35.2)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32.8, 35.8)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lastRenderedPageBreak/>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33.6, 35.9)</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33.6</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lastRenderedPageBreak/>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32.3, 34.9)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lastRenderedPageBreak/>
              <w:t>-1.2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31.7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30.4, 32. 9)</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32.3, 36.1)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32.2, 34.5)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31.9, 34.9)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ÿ\11\05‘\19\02\00\00\00\0254\01\01\00\02\00\00\01\00\00\00\00\00\00\00\00\00\0084Q\018\00\00\00\01\00\00\008\00\00\00Ðã\00\008\00\00\00‰8\00\00C:\5CDocuments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Female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32.6, 33.6)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Reported as “About 9 months”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33.5, 34.6)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0.9</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Among females, total fat intake adjusted for baseline decreased relative to controls in all except the school nutrition group. However, the fall was significant from controls in only the home nutrition group.</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32.5, 35.1)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35.0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33.5, 34.6)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33.5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32.7, 34.7)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33.4, 35.8)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32.0, 34.3)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32.8, 35.6)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 33.6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32.3, 34.9)</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34.8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33.3, 36.3)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31.4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30.0, 32.7)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32.4, 35.0)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total fat in females vs. males – 2.9 (95% CI: 1.5, 4.3)</w:t>
            </w: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33.0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31.6, 34.3)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31.8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30.2, 33.4)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total fat in females vs. males – 3.6 (95% CI: 2.1, 5.1)</w:t>
            </w:r>
          </w:p>
        </w:tc>
      </w:tr>
      <w:tr w:rsidR="00A72221" w:rsidRPr="00C93489" w:rsidTr="0072080A">
        <w:tc>
          <w:tcPr>
            <w:tcW w:w="698" w:type="pct"/>
            <w:tcBorders>
              <w:top w:val="single" w:sz="4" w:space="0" w:color="auto"/>
              <w:left w:val="single" w:sz="4" w:space="0" w:color="auto"/>
              <w:bottom w:val="single" w:sz="4" w:space="0" w:color="auto"/>
              <w:right w:val="nil"/>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t>Change in energy intake (% saturated fat)</w:t>
            </w:r>
          </w:p>
        </w:tc>
        <w:tc>
          <w:tcPr>
            <w:tcW w:w="32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35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24"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3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29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1244" w:type="pct"/>
            <w:tcBorders>
              <w:top w:val="single" w:sz="4" w:space="0" w:color="auto"/>
              <w:left w:val="nil"/>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ÿ\11\05‘\19\02\00\00\00\0254\01\01\00\02\00\00\01\00\00\00\00\00\00\00\00\00\00p4Q\018\00\00\00\01\00\00\008\00\00\00Ðã\00\008\00\00\00‰8\00\00C:\5CDocuments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13.4, 13.9)</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Reported as “About 9 months”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13.9, 14.5)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Among boys, no significant difference from controls but tended to increase intake of saturated fats in all except the school nutrition group. </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12.9, 14.2)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13.3, 15.0)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13.2, 14.3)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13.6, 14.9)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0.7</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13.1, 14.6)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13.7, 15.2)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13.4, 14.6)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13.3, 14.5)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12.9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12.3, 13.6)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13.4, 15.0)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13.0, 14.2)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13.4, 14.8)</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ÿ\11\05‘\19\02\00\00\00\0254\01\01\00\02\00\00\01\00\00\00\00\00\00\00\00\00\00¨4Q\018\00\00\00\01\00\00\008\00\00\00Ðã\00\008\00\00\00‰8\00\00C:\5CDocuments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Female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13.9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13.6, 14.2)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Reported as “About 9 months”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14.2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13.9, 14.5)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14.4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13.6, 15.1)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15.0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14.3, 15.7)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13.6, 14.2)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14.7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13.9, 15.4)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13.4, 14.7)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13.3, 14.6)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saturated fat intake in females vs. males– 1.5 (95% CI: 0.8, 2.2)</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14.0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13.3, 14.6)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14.6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13.9, 15.3)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13.1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12.3, 13.8)</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13.6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12.9, 14.3)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saturated fat intake in females vs. males – 1.6 (95% CI: 0.8, 2.4).</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Among females, saturated fat intakes decreased in all treatment groups significantly from controls in the </w:t>
            </w:r>
            <w:proofErr w:type="spellStart"/>
            <w:r w:rsidRPr="00C93489">
              <w:rPr>
                <w:rFonts w:ascii="Arial" w:hAnsi="Arial" w:cs="Arial"/>
                <w:bCs/>
                <w:color w:val="000000"/>
                <w:sz w:val="18"/>
                <w:szCs w:val="18"/>
              </w:rPr>
              <w:t>school+home</w:t>
            </w:r>
            <w:proofErr w:type="spellEnd"/>
            <w:r w:rsidRPr="00C93489">
              <w:rPr>
                <w:rFonts w:ascii="Arial" w:hAnsi="Arial" w:cs="Arial"/>
                <w:bCs/>
                <w:color w:val="000000"/>
                <w:sz w:val="18"/>
                <w:szCs w:val="18"/>
              </w:rPr>
              <w:t xml:space="preserve"> nutrition group.</w:t>
            </w: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 13.8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13.1, 14.5)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13.3 </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12.5, 14.1)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From regression models showing interaction terms, significantly greater decrease in saturated fat intake in females vs. males – 1.6 (95% CI: 0.9, 2.3).</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Among females, saturated fat intakes decreased in all </w:t>
            </w:r>
            <w:r w:rsidRPr="00C93489">
              <w:rPr>
                <w:rFonts w:ascii="Arial" w:hAnsi="Arial" w:cs="Arial"/>
                <w:bCs/>
                <w:color w:val="000000"/>
                <w:sz w:val="18"/>
                <w:szCs w:val="18"/>
              </w:rPr>
              <w:lastRenderedPageBreak/>
              <w:t>treatment groups significantly from controls in the home nutrition group.</w:t>
            </w:r>
          </w:p>
        </w:tc>
      </w:tr>
      <w:tr w:rsidR="00A72221" w:rsidRPr="00C93489" w:rsidTr="0072080A">
        <w:tc>
          <w:tcPr>
            <w:tcW w:w="698" w:type="pct"/>
            <w:tcBorders>
              <w:top w:val="single" w:sz="4" w:space="0" w:color="auto"/>
              <w:left w:val="single" w:sz="4" w:space="0" w:color="auto"/>
              <w:bottom w:val="single" w:sz="4" w:space="0" w:color="auto"/>
              <w:right w:val="nil"/>
            </w:tcBorders>
            <w:shd w:val="clear" w:color="auto" w:fill="auto"/>
            <w:noWrap/>
          </w:tcPr>
          <w:p w:rsidR="00A72221" w:rsidRPr="00C93489" w:rsidRDefault="00A72221" w:rsidP="0072080A">
            <w:pPr>
              <w:tabs>
                <w:tab w:val="left" w:pos="360"/>
              </w:tabs>
              <w:rPr>
                <w:rFonts w:ascii="Arial" w:hAnsi="Arial" w:cs="Arial"/>
                <w:b/>
                <w:color w:val="000000"/>
                <w:sz w:val="18"/>
                <w:szCs w:val="18"/>
              </w:rPr>
            </w:pPr>
            <w:r w:rsidRPr="00C93489">
              <w:rPr>
                <w:rFonts w:ascii="Arial" w:hAnsi="Arial" w:cs="Arial"/>
                <w:b/>
                <w:color w:val="000000"/>
                <w:sz w:val="18"/>
                <w:szCs w:val="18"/>
              </w:rPr>
              <w:lastRenderedPageBreak/>
              <w:t>Change in energy intake (</w:t>
            </w:r>
            <w:proofErr w:type="spellStart"/>
            <w:r w:rsidRPr="00C93489">
              <w:rPr>
                <w:rFonts w:ascii="Arial" w:hAnsi="Arial" w:cs="Arial"/>
                <w:b/>
                <w:color w:val="000000"/>
                <w:sz w:val="18"/>
                <w:szCs w:val="18"/>
              </w:rPr>
              <w:t>MJ</w:t>
            </w:r>
            <w:proofErr w:type="spellEnd"/>
            <w:r w:rsidRPr="00C93489">
              <w:rPr>
                <w:rFonts w:ascii="Arial" w:hAnsi="Arial" w:cs="Arial"/>
                <w:b/>
                <w:color w:val="000000"/>
                <w:sz w:val="18"/>
                <w:szCs w:val="18"/>
              </w:rPr>
              <w:t>/d)</w:t>
            </w:r>
          </w:p>
        </w:tc>
        <w:tc>
          <w:tcPr>
            <w:tcW w:w="32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35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24"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37"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293"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512" w:type="pct"/>
            <w:tcBorders>
              <w:top w:val="single" w:sz="4" w:space="0" w:color="auto"/>
              <w:left w:val="nil"/>
              <w:bottom w:val="single" w:sz="4" w:space="0" w:color="auto"/>
              <w:right w:val="nil"/>
            </w:tcBorders>
            <w:shd w:val="clear" w:color="auto" w:fill="auto"/>
          </w:tcPr>
          <w:p w:rsidR="00A72221" w:rsidRPr="00C93489" w:rsidRDefault="00A72221" w:rsidP="0072080A">
            <w:pPr>
              <w:spacing w:line="276" w:lineRule="auto"/>
              <w:rPr>
                <w:rFonts w:ascii="Arial" w:hAnsi="Arial" w:cs="Arial"/>
                <w:b/>
                <w:bCs/>
                <w:color w:val="000000"/>
                <w:sz w:val="18"/>
                <w:szCs w:val="18"/>
              </w:rPr>
            </w:pPr>
          </w:p>
        </w:tc>
        <w:tc>
          <w:tcPr>
            <w:tcW w:w="1244" w:type="pct"/>
            <w:tcBorders>
              <w:top w:val="single" w:sz="4" w:space="0" w:color="auto"/>
              <w:left w:val="nil"/>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ÿ\11\05‘\19\02\00\00\00\0254\01\01\00\02\00\00\01\00\00\00\00\00\00\00\00\00\00à4Q\018\00\00\00\01\00\00\008\00\00\00Ðã\00\008\00\00\00‰8\00\00C:\5CDocuments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7.4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7.2, 7.6)</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Reported as “About 9 months”</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423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7.5, 7.9)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Did not change significantly during the intervention for all groups.</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6.8, 7.7)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8.0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7.5, 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0.8</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7.4, 8.3)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7.6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7.1, 8.1)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7.1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6.7, 7.5)</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72</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6.9, 8.1)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7.4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6.9, 7.8)</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7.0, 8.0)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7.4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6.9, 8.0)</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54</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7.9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7.2, 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7.6,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7.1, 8.1)</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8.0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7.5, 8.6)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val="restart"/>
            <w:tcBorders>
              <w:top w:val="single" w:sz="4" w:space="0" w:color="auto"/>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roofErr w:type="spellStart"/>
            <w:r w:rsidRPr="00C93489">
              <w:rPr>
                <w:rFonts w:ascii="Arial" w:hAnsi="Arial" w:cs="Arial"/>
                <w:color w:val="000000"/>
                <w:sz w:val="18"/>
                <w:szCs w:val="18"/>
              </w:rPr>
              <w:t>Vandongen</w:t>
            </w:r>
            <w:proofErr w:type="spellEnd"/>
            <w:r w:rsidRPr="00C93489">
              <w:rPr>
                <w:rFonts w:ascii="Arial" w:hAnsi="Arial" w:cs="Arial"/>
                <w:color w:val="000000"/>
                <w:sz w:val="18"/>
                <w:szCs w:val="18"/>
              </w:rPr>
              <w:t>, 1995</w:t>
            </w:r>
            <w:r w:rsidR="005A215D">
              <w:rPr>
                <w:rFonts w:ascii="Arial" w:hAnsi="Arial" w:cs="Arial"/>
                <w:color w:val="000000"/>
                <w:sz w:val="18"/>
                <w:szCs w:val="18"/>
              </w:rPr>
              <w:fldChar w:fldCharType="begin"/>
            </w:r>
            <w:r>
              <w:rPr>
                <w:rFonts w:ascii="Arial" w:hAnsi="Arial" w:cs="Arial"/>
                <w:color w:val="000000"/>
                <w:sz w:val="18"/>
                <w:szCs w:val="18"/>
              </w:rPr>
              <w:instrText xml:space="preserve"> QUOTE "</w:instrText>
            </w:r>
            <w:r>
              <w:rPr>
                <w:rFonts w:ascii="Arial" w:hAnsi="Arial" w:cs="Arial"/>
                <w:color w:val="000000"/>
                <w:sz w:val="18"/>
                <w:szCs w:val="18"/>
                <w:vertAlign w:val="superscript"/>
              </w:rPr>
              <w:instrText>54</w:instrText>
            </w:r>
            <w:r>
              <w:rPr>
                <w:rFonts w:ascii="Arial" w:hAnsi="Arial" w:cs="Arial"/>
                <w:color w:val="000000"/>
                <w:sz w:val="18"/>
                <w:szCs w:val="18"/>
              </w:rPr>
              <w:instrText xml:space="preserve">" </w:instrText>
            </w:r>
            <w:r w:rsidR="005A215D" w:rsidRPr="005A3D99">
              <w:rPr>
                <w:rFonts w:ascii="Arial" w:hAnsi="Arial" w:cs="Arial"/>
                <w:vanish/>
                <w:color w:val="000000"/>
                <w:sz w:val="18"/>
                <w:szCs w:val="18"/>
              </w:rPr>
              <w:fldChar w:fldCharType="begin"/>
            </w:r>
            <w:r w:rsidRPr="005A3D99">
              <w:rPr>
                <w:rFonts w:ascii="Arial" w:hAnsi="Arial" w:cs="Arial"/>
                <w:vanish/>
                <w:color w:val="000000"/>
                <w:sz w:val="18"/>
                <w:szCs w:val="18"/>
              </w:rPr>
              <w:instrText xml:space="preserve"> ADDIN PROCITE ÿ\11\05‘\19\02\00\00\00\0254\01\01\00\02\00\00\01\00\00\00\00\00\00\00\00\00\00\185Q\018\00\00\00\01\00\00\008\00\00\00Ðã\00\008\00\00\00‰8\00\00C:\5CDocuments and Settings\5Crewilson\5CDesktop\5CCurrent CER dateabases\5CChild Obesity Database_All Searches Deduped Final_12MAR12.pdt%Vandongen, Jenner, et al. 1995 #14483\00%\00 </w:instrText>
            </w:r>
            <w:r w:rsidR="005A215D" w:rsidRPr="005A3D99">
              <w:rPr>
                <w:rFonts w:ascii="Arial" w:hAnsi="Arial" w:cs="Arial"/>
                <w:vanish/>
                <w:color w:val="000000"/>
                <w:sz w:val="18"/>
                <w:szCs w:val="18"/>
              </w:rPr>
              <w:fldChar w:fldCharType="end"/>
            </w:r>
            <w:r w:rsidR="005A215D">
              <w:rPr>
                <w:rFonts w:ascii="Arial" w:hAnsi="Arial" w:cs="Arial"/>
                <w:color w:val="000000"/>
                <w:sz w:val="18"/>
                <w:szCs w:val="18"/>
              </w:rPr>
              <w:fldChar w:fldCharType="separate"/>
            </w:r>
            <w:r>
              <w:rPr>
                <w:rFonts w:ascii="Arial" w:hAnsi="Arial" w:cs="Arial"/>
                <w:color w:val="000000"/>
                <w:sz w:val="18"/>
                <w:szCs w:val="18"/>
                <w:vertAlign w:val="superscript"/>
              </w:rPr>
              <w:t>54</w:t>
            </w:r>
            <w:r w:rsidR="005A215D">
              <w:rPr>
                <w:rFonts w:ascii="Arial" w:hAnsi="Arial" w:cs="Arial"/>
                <w:color w:val="000000"/>
                <w:sz w:val="18"/>
                <w:szCs w:val="18"/>
              </w:rPr>
              <w:fldChar w:fldCharType="end"/>
            </w:r>
          </w:p>
          <w:p w:rsidR="00A72221" w:rsidRPr="00C93489" w:rsidRDefault="00A72221" w:rsidP="0072080A">
            <w:pPr>
              <w:tabs>
                <w:tab w:val="left" w:pos="360"/>
              </w:tabs>
              <w:rPr>
                <w:rFonts w:ascii="Arial" w:hAnsi="Arial" w:cs="Arial"/>
                <w:color w:val="000000"/>
                <w:sz w:val="18"/>
                <w:szCs w:val="18"/>
              </w:rPr>
            </w:pPr>
          </w:p>
          <w:p w:rsidR="00A72221" w:rsidRPr="00C93489" w:rsidRDefault="00A72221" w:rsidP="0072080A">
            <w:pPr>
              <w:tabs>
                <w:tab w:val="left" w:pos="360"/>
              </w:tabs>
              <w:rPr>
                <w:rFonts w:ascii="Arial" w:hAnsi="Arial" w:cs="Arial"/>
                <w:color w:val="000000"/>
                <w:sz w:val="18"/>
                <w:szCs w:val="18"/>
              </w:rPr>
            </w:pPr>
            <w:r w:rsidRPr="00C93489">
              <w:rPr>
                <w:rFonts w:ascii="Arial" w:hAnsi="Arial" w:cs="Arial"/>
                <w:color w:val="000000"/>
                <w:sz w:val="18"/>
                <w:szCs w:val="18"/>
              </w:rPr>
              <w:t>Male</w:t>
            </w: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All groups</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6.7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6.5, 6.8)</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Reported as “About 9 months”</w:t>
            </w:r>
          </w:p>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 xml:space="preserve"> (but baseline – between Feb-April; follow up – between Oct- Dec)</w:t>
            </w: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446</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6.6, 7.0)</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Did not change significantly during the intervention for all groups.</w:t>
            </w: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6.4, 7.2)</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6.1, 6.9)</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6.4, 7.3)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6.9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6.4, 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6.3, 7.3)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77</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7.0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6.6, 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6.4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6.0, 6.7)</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91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6.9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6.5, 7.3)</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5</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6.4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5.9, 6.8)</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6.6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6.2, 7.1)</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0.2</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r w:rsidR="00A72221" w:rsidRPr="00C93489" w:rsidTr="0072080A">
        <w:tc>
          <w:tcPr>
            <w:tcW w:w="698" w:type="pct"/>
            <w:vMerge/>
            <w:tcBorders>
              <w:left w:val="single" w:sz="4" w:space="0" w:color="auto"/>
              <w:bottom w:val="single" w:sz="4" w:space="0" w:color="auto"/>
              <w:right w:val="single" w:sz="4" w:space="0" w:color="auto"/>
            </w:tcBorders>
            <w:shd w:val="clear" w:color="auto" w:fill="auto"/>
            <w:noWrap/>
          </w:tcPr>
          <w:p w:rsidR="00A72221" w:rsidRPr="00C93489" w:rsidRDefault="00A72221" w:rsidP="0072080A">
            <w:pPr>
              <w:tabs>
                <w:tab w:val="left" w:pos="360"/>
              </w:tabs>
              <w:rPr>
                <w:rFonts w:ascii="Arial" w:hAnsi="Arial" w:cs="Arial"/>
                <w:color w:val="000000"/>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6.9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6.4, 7.3)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6.8 (</w:t>
            </w:r>
            <w:proofErr w:type="spellStart"/>
            <w:r w:rsidRPr="00C93489">
              <w:rPr>
                <w:rFonts w:ascii="Arial" w:hAnsi="Arial" w:cs="Arial"/>
                <w:bCs/>
                <w:color w:val="000000"/>
                <w:sz w:val="18"/>
                <w:szCs w:val="18"/>
              </w:rPr>
              <w:t>95%CI</w:t>
            </w:r>
            <w:proofErr w:type="spellEnd"/>
            <w:r w:rsidRPr="00C93489">
              <w:rPr>
                <w:rFonts w:ascii="Arial" w:hAnsi="Arial" w:cs="Arial"/>
                <w:bCs/>
                <w:color w:val="000000"/>
                <w:sz w:val="18"/>
                <w:szCs w:val="18"/>
              </w:rPr>
              <w:t>: 6.2, 7.5)</w:t>
            </w: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r w:rsidRPr="00C93489">
              <w:rPr>
                <w:rFonts w:ascii="Arial" w:hAnsi="Arial" w:cs="Arial"/>
                <w:bCs/>
                <w:color w:val="000000"/>
                <w:sz w:val="18"/>
                <w:szCs w:val="18"/>
              </w:rPr>
              <w:t>-0.1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A72221" w:rsidRPr="00C93489" w:rsidRDefault="00A72221" w:rsidP="0072080A">
            <w:pPr>
              <w:spacing w:line="276" w:lineRule="auto"/>
              <w:rPr>
                <w:rFonts w:ascii="Arial" w:hAnsi="Arial" w:cs="Arial"/>
                <w:bCs/>
                <w:color w:val="000000"/>
                <w:sz w:val="18"/>
                <w:szCs w:val="18"/>
              </w:rPr>
            </w:pPr>
          </w:p>
        </w:tc>
      </w:tr>
    </w:tbl>
    <w:p w:rsidR="00A72221" w:rsidRPr="00C93489" w:rsidRDefault="00A72221" w:rsidP="00A72221">
      <w:pPr>
        <w:rPr>
          <w:rFonts w:ascii="Times New Roman" w:hAnsi="Times New Roman"/>
          <w:sz w:val="18"/>
          <w:szCs w:val="18"/>
        </w:rPr>
      </w:pPr>
      <w:r w:rsidRPr="00C93489">
        <w:rPr>
          <w:rFonts w:ascii="Times New Roman" w:hAnsi="Times New Roman"/>
          <w:sz w:val="18"/>
          <w:szCs w:val="18"/>
        </w:rPr>
        <w:t>ANOVA = Analysis of Variance; CI = Confidence Interval; PA = Physical Activity; P = p-value; SD = Standard Deviation</w:t>
      </w:r>
    </w:p>
    <w:p w:rsidR="00A72221" w:rsidRPr="00C93489" w:rsidRDefault="00A72221" w:rsidP="00A72221"/>
    <w:p w:rsidR="00A72221" w:rsidRPr="00C93489" w:rsidRDefault="00A72221" w:rsidP="00A72221">
      <w:pPr>
        <w:rPr>
          <w:rFonts w:ascii="Arial" w:hAnsi="Arial"/>
          <w:b/>
        </w:rPr>
      </w:pPr>
      <w:bookmarkStart w:id="0" w:name="_GoBack"/>
      <w:bookmarkEnd w:id="0"/>
    </w:p>
    <w:sectPr w:rsidR="00A72221" w:rsidRPr="00C93489" w:rsidSect="00400C01">
      <w:footerReference w:type="default" r:id="rId9"/>
      <w:pgSz w:w="20160" w:h="12240" w:orient="landscape" w:code="5"/>
      <w:pgMar w:top="1440" w:right="1440" w:bottom="1440" w:left="1440" w:header="720" w:footer="720" w:gutter="0"/>
      <w:pgNumType w:start="1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8A" w:rsidRDefault="00E1358A">
      <w:r>
        <w:separator/>
      </w:r>
    </w:p>
  </w:endnote>
  <w:endnote w:type="continuationSeparator" w:id="0">
    <w:p w:rsidR="00E1358A" w:rsidRDefault="00E1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1" w:rsidRDefault="00400C01" w:rsidP="00400C01">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132</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8A" w:rsidRDefault="00E1358A">
      <w:r>
        <w:separator/>
      </w:r>
    </w:p>
  </w:footnote>
  <w:footnote w:type="continuationSeparator" w:id="0">
    <w:p w:rsidR="00E1358A" w:rsidRDefault="00E13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0C0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4B25"/>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0E04"/>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358A"/>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285F-8ADA-4DFB-8EC4-7D0A4CC5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11295</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2013-07-04T04:49:00Z</dcterms:modified>
</cp:coreProperties>
</file>