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0B086E" w:rsidRDefault="00A72221" w:rsidP="00A72221">
      <w:pPr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 xml:space="preserve">Evidence Table </w:t>
      </w:r>
      <w:proofErr w:type="spellStart"/>
      <w:r w:rsidRPr="000B086E">
        <w:rPr>
          <w:rFonts w:ascii="Arial" w:hAnsi="Arial"/>
          <w:b/>
        </w:rPr>
        <w:t>2</w:t>
      </w:r>
      <w:r>
        <w:rPr>
          <w:rFonts w:ascii="Arial" w:hAnsi="Arial"/>
          <w:b/>
        </w:rPr>
        <w:t>8</w:t>
      </w:r>
      <w:r w:rsidRPr="000B086E">
        <w:rPr>
          <w:rFonts w:ascii="Arial" w:hAnsi="Arial"/>
          <w:b/>
        </w:rPr>
        <w:t>c</w:t>
      </w:r>
      <w:proofErr w:type="spellEnd"/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Intermediate outcomes for combination diet and physical activity  intervention studies taking place in a school setting with consumer health informatics components and in a school setting with home and consumer health informatics components</w:t>
      </w:r>
    </w:p>
    <w:p w:rsidR="00A72221" w:rsidRPr="000B086E" w:rsidRDefault="00A72221" w:rsidP="00A72221">
      <w:pPr>
        <w:rPr>
          <w:rFonts w:ascii="Arial" w:hAnsi="Arial"/>
          <w:b/>
        </w:rPr>
      </w:pPr>
    </w:p>
    <w:tbl>
      <w:tblPr>
        <w:tblW w:w="178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10"/>
        <w:gridCol w:w="1170"/>
        <w:gridCol w:w="1350"/>
        <w:gridCol w:w="1080"/>
        <w:gridCol w:w="1260"/>
        <w:gridCol w:w="1170"/>
        <w:gridCol w:w="1080"/>
        <w:gridCol w:w="7380"/>
      </w:tblGrid>
      <w:tr w:rsidR="00A72221" w:rsidRPr="000B086E" w:rsidTr="0072080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follow up measure, mean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Change in fruit and vegetable consumption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ÿ\11\05‘\19\02\00\00\00\012\01\01\00\01\00\00\01\00\00\00\00\00\00\00\00\00\00°7=\018\00\00\00\01\00\00\008\00\00\00Ðã\00\008\00\00\00üX\00\00hC:\5CDocuments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Post-data analysis showed an increase in fruit and vegetable consumption in both groups, with a notably higher increase in the intervention group. Although this increase was a positive shift, students were still reporting fruit consumption below recommended levels. There was a decrease in both groups in the reported consumption of potatoes and carrots. The comparison group also decreased reported rates of consumption of other vegetables and 100% fruit juices. Intervention teachers reported positive shifts in students’ lunch and snack choices within 2 weeks of beginning the intervention. Students, teachers, and parents reported changes in the students’ eating habits both at school and at home.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Sugar 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Sweetend</w:t>
            </w:r>
            <w:proofErr w:type="spellEnd"/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 Beverages (usual, %&gt;400 ml/d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ÿ\11\05‘\19\02\00\00\00\015\01\01\00\01\00\00\01\00\00\00\00\00\00\00\00\00\00àcÉ\008\00\00\00\01\00\00\008\00\00\00Ðã\00\008\00\00\00²u\00\00hC:\5CDocuments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Snacks, pieces/d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ÿ\11\05‘\19\02\00\00\00\015\01\01\00\01\00\00\01\00\00\00\00\00\00\00\00\00\00\00¤:\018\00\00\00\01\00\00\008\00\00\00Ðã\00\008\00\00\00²u\00\00hC:\5CDocuments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5.2 (3.3)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5.8 (4.8)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rHeight w:val="233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5.5 (3.8)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5.3 (4.7)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Fruit, Pieces/d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ÿ\11\05‘\19\02\00\00\00\015\01\01\00\01\00\00\01\00\00\00\00\00\00\00\00\00\00ÀO&lt;\018\00\00\00\01\00\00\008\00\00\00Ðã\00\008\00\00\00²u\00\00hC:\5CDocuments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1.63 (1.24)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1.46 (1.21)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1.67 (1.25)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1.48 (1.31)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Vegetable, g/d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ÿ\11\05‘\19\02\00\00\00\015\01\01\00\01\00\00\01\00\00\00\00\00\00\00\00\00\00¨A&lt;\018\00\00\00\01\00\00\008\00\00\00Ðã\00\008\00\00\00²u\00\00hC:\5CDocuments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106 (76)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105 (75)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107 (79)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106 (76)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Change in physical activity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ÿ\11\05‘\19\02\00\00\00\012\01\01\00\01\00\00\01\00\00\00\00\00\00\00\00\00\00\10==\018\00\00\00\01\00\00\008\00\00\00Ðã\00\008\00\00\00üX\00\00hC:\5CDocuments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The physical activity levels in the intervention group increased in both school and home settings. Physical activity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activity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rates were reported at the baseline measure point to be an average of 59 min/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during the school day (averaging 11.8 min/d, with most of the activity occurring during PE class once a week) and a mean level of 22.34 min/d outside of the school day (</w:t>
            </w:r>
            <w:proofErr w:type="spellStart"/>
            <w:r w:rsidRPr="000B086E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0B086E">
              <w:rPr>
                <w:rFonts w:ascii="Arial" w:hAnsi="Arial" w:cs="Arial"/>
                <w:sz w:val="18"/>
                <w:szCs w:val="18"/>
              </w:rPr>
              <w:t>:530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). At post-data measure, intervention students reported an average of 102.5 min/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of physical activity during the school day (20.5 min/d) and a mean level of 37.42 min/d outside of the school day (</w:t>
            </w:r>
            <w:r w:rsidRPr="000B08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0B086E">
              <w:rPr>
                <w:rFonts w:ascii="Arial" w:hAnsi="Arial" w:cs="Arial"/>
                <w:sz w:val="18"/>
                <w:szCs w:val="18"/>
              </w:rPr>
              <w:t xml:space="preserve">:531). Physical activity levels increased slightly in the comparison group in reported levels of light exercise (baseline level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mean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:2.74</w:t>
            </w:r>
            <w:proofErr w:type="spellEnd"/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08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0B086E">
              <w:rPr>
                <w:rFonts w:ascii="Arial" w:hAnsi="Arial" w:cs="Arial"/>
                <w:sz w:val="18"/>
                <w:szCs w:val="18"/>
              </w:rPr>
              <w:t xml:space="preserve">:472; post-data level mean: 3.09, </w:t>
            </w:r>
            <w:r w:rsidRPr="000B086E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0B086E">
              <w:rPr>
                <w:rFonts w:ascii="Arial" w:hAnsi="Arial" w:cs="Arial"/>
                <w:sz w:val="18"/>
                <w:szCs w:val="18"/>
              </w:rPr>
              <w:t>:473).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Days with 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60min</w:t>
            </w:r>
            <w:proofErr w:type="spellEnd"/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 of moderate activity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ÿ\11\05‘\19\02\00\00\00\015\01\01\00\01\00\00\01\00\00\00\00\00\00\00\00\00\00Ð 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2.96 (1.90)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2.63 (1.95)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2.61 (1.92)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2.46 (1.90)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Transport to School (min/week)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ÿ\11\05‘\19\02\00\00\00\015\01\01\00\01\00\00\01\00\00\00\00\00\00\00\00\00\00\00A&lt;\018\00\00\00\01\00\00\008\00\00\00Ðã\00\008\00\00\00²u\00\00hC:\5CDocuments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156 (117)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132 (130)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131 (137)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161 (113)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Sport Outside School, % yes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ÿ\11\05‘\19\02\00\00\00\015\01\01\00\01\00\00\01\00\00\00\00\00\00\00\00\00\00@$&lt;\018\00\00\00\01\00\00\008\00\00\00Ðã\00\008\00\00\00²u\00\00hC:\5CDocuments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Step Count, # of steps/week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ÿ\11\05‘\19\02\00\00\00\015\01\01\00\01\00\00\01\00\00\00\00\00\00\00\00\00\00ðD&lt;\018\00\00\00\01\00\00\008\00\00\00Ðã\00\008\00\00\00²u\00\00hC:\5CDocuments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84679 (21697)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68276 (27862)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81046 (28987)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78560 (253489)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Television + computer time, min/d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ÿ\11\05‘\19\02\00\00\00\015\01\01\00\01\00\00\01\00\00\00\00\00\00\00\00\00\00h§:\018\00\00\00\01\00\00\008\00\00\00Ðã\00\008\00\00\00²u\00\00hC:\5CDocuments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312.9 (163.9)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331.3 (161.7)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299.7 (163.6)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313.1 (155.6)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Steps per day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ÿ\11\05‘\19\02\00\00\00\013\01\01\00\01\00\00\01\00\00\00\00\00\00\00\00\00\00Pæ;\018\00\00\00\01\00\00\008\00\00\00Ðã\00\008\00\00\008ˆ\00\00hC:\5CDocuments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10278.5 (3284.3)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13775.0 (3919.8)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9579.4 (2735.6)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14213.3 (3998.9)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MVPA</w:t>
            </w:r>
            <w:proofErr w:type="spellEnd"/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 Total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ÿ\11\05‘\19\02\00\00\00\013\01\01\00\01\00\00\01\00\00\00\00\00\00\00\00\00\00H!&lt;\018\00\00\00\01\00\00\008\00\00\00Ðã\00\008\00\00\008ˆ\00\00hC:\5CDocuments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120.3 (23.7)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114.1 (31.1)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124.7 (26.7)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128.3 (35.7)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lastRenderedPageBreak/>
              <w:t>MVPA</w:t>
            </w:r>
            <w:proofErr w:type="spellEnd"/>
            <w:r w:rsidRPr="000B086E">
              <w:rPr>
                <w:rFonts w:ascii="Arial" w:hAnsi="Arial" w:cs="Arial"/>
                <w:b/>
                <w:sz w:val="18"/>
                <w:szCs w:val="18"/>
              </w:rPr>
              <w:t xml:space="preserve"> bouts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ÿ\11\05‘\19\02\00\00\00\013\01\01\00\01\00\00\01\00\00\00\00\00\00\00\00\00\00\00\047\018\00\00\00\01\00\00\008\00\00\00Ðã\00\008\00\00\008ˆ\00\00hC:\5CDocuments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36.5 (16.4)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46.1 (23.2)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40.1 (18.7)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53.7 (28.8)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0B086E" w:rsidRDefault="00A72221" w:rsidP="00A72221">
      <w:pPr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 xml:space="preserve">d = Day, ml/d = milliliter per day; </w:t>
      </w:r>
      <w:proofErr w:type="spellStart"/>
      <w:r w:rsidRPr="000B086E">
        <w:rPr>
          <w:rFonts w:ascii="Times New Roman" w:hAnsi="Times New Roman"/>
          <w:sz w:val="18"/>
          <w:szCs w:val="18"/>
        </w:rPr>
        <w:t>MVPA</w:t>
      </w:r>
      <w:proofErr w:type="spellEnd"/>
      <w:r w:rsidRPr="000B086E">
        <w:rPr>
          <w:rFonts w:ascii="Times New Roman" w:hAnsi="Times New Roman"/>
          <w:sz w:val="18"/>
          <w:szCs w:val="18"/>
        </w:rPr>
        <w:t xml:space="preserve"> = Moderate to </w:t>
      </w:r>
      <w:proofErr w:type="spellStart"/>
      <w:r w:rsidRPr="000B086E">
        <w:rPr>
          <w:rFonts w:ascii="Times New Roman" w:hAnsi="Times New Roman"/>
          <w:sz w:val="18"/>
          <w:szCs w:val="18"/>
        </w:rPr>
        <w:t>Vigororous</w:t>
      </w:r>
      <w:proofErr w:type="spellEnd"/>
      <w:r w:rsidRPr="000B086E">
        <w:rPr>
          <w:rFonts w:ascii="Times New Roman" w:hAnsi="Times New Roman"/>
          <w:sz w:val="18"/>
          <w:szCs w:val="18"/>
        </w:rPr>
        <w:t xml:space="preserve"> Activity; N = Sample Size; PE = Physical Education; SD = Standard Deviation</w:t>
      </w:r>
    </w:p>
    <w:p w:rsidR="00A72221" w:rsidRPr="000B086E" w:rsidRDefault="00A72221" w:rsidP="00A72221">
      <w:pPr>
        <w:rPr>
          <w:rFonts w:ascii="Arial" w:hAnsi="Arial" w:cs="Arial"/>
          <w:b/>
        </w:rPr>
      </w:pPr>
    </w:p>
    <w:p w:rsidR="00A72221" w:rsidRDefault="00A72221" w:rsidP="00A72221"/>
    <w:p w:rsidR="00A72221" w:rsidRDefault="00A72221" w:rsidP="00A72221">
      <w:bookmarkStart w:id="0" w:name="_GoBack"/>
      <w:bookmarkEnd w:id="0"/>
    </w:p>
    <w:sectPr w:rsidR="00A72221" w:rsidSect="00620CD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E4" w:rsidRDefault="00767EE4">
      <w:r>
        <w:separator/>
      </w:r>
    </w:p>
  </w:endnote>
  <w:endnote w:type="continuationSeparator" w:id="0">
    <w:p w:rsidR="00767EE4" w:rsidRDefault="0076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CD4" w:rsidRDefault="00620CD4" w:rsidP="00620CD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383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E4" w:rsidRDefault="00767EE4">
      <w:r>
        <w:separator/>
      </w:r>
    </w:p>
  </w:footnote>
  <w:footnote w:type="continuationSeparator" w:id="0">
    <w:p w:rsidR="00767EE4" w:rsidRDefault="0076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0CD4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67EE4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2510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53F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37F4-4F2F-4340-84E3-1336E387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8446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2013-07-04T05:23:00Z</dcterms:modified>
</cp:coreProperties>
</file>