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D56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Adverse effects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divalproex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sodium vs. placebo in children (results from low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noProof/>
          <w:color w:val="000000"/>
          <w:sz w:val="18"/>
          <w:szCs w:val="18"/>
          <w:vertAlign w:val="superscript"/>
        </w:rPr>
        <w:t>5</w:t>
      </w:r>
      <w:proofErr w:type="gramEnd"/>
    </w:p>
    <w:tbl>
      <w:tblPr>
        <w:tblW w:w="4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260"/>
        <w:gridCol w:w="1620"/>
        <w:gridCol w:w="1623"/>
        <w:gridCol w:w="1891"/>
        <w:gridCol w:w="2097"/>
      </w:tblGrid>
      <w:tr w:rsidR="00621C92" w:rsidRPr="00E55116" w:rsidTr="006A2A05">
        <w:trPr>
          <w:cantSplit/>
          <w:tblHeader/>
        </w:trPr>
        <w:tc>
          <w:tcPr>
            <w:tcW w:w="1327" w:type="pct"/>
            <w:shd w:val="clear" w:color="000000" w:fill="FFFFFF"/>
            <w:vAlign w:val="center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[rate, %] with drug</w:t>
            </w:r>
          </w:p>
        </w:tc>
        <w:tc>
          <w:tcPr>
            <w:tcW w:w="70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[rate, %] with placebo</w:t>
            </w:r>
          </w:p>
        </w:tc>
        <w:tc>
          <w:tcPr>
            <w:tcW w:w="81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90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 [4.0]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 (0.3 to 27.4)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(-0.03 to 0.08)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 (0.1 to 13.8)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(-0.04 to 0.03)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 [8.1]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5.9 (0.7 to 48.0)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 (0.00 to 0.14)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 [5.3]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0/73 [0.0]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8.8 (0.5 to 159.9)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 (0.00 to 0.11)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8/75 [10.7]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 (0.5 to 4.5)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(-0.05 to 0.13)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 [2.4]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0/73 [0.0]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4.4 (0.2 to 90.3)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(-0.02 to 0.06)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 [4.8]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 (0.2 to 2.5)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 (-0.09 to 0.05)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 [1.4]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0/73 [0.0]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 (0.1 to 71.5)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Ammonia increased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2/74 [2.7]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 (0.1 to 2.0)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 (-0.11 to 0.03)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2/75 [2.7]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 (0.1 to 3.8)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 (-0.07 to 0.04)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 (0.0 to 2.8)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(-0.08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 [5.4]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 (0.3 to 5.7)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(-0.06 to 0.08)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Discontinued due to lack of efficacy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0/75 [0.0]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 (0.0 to 7.8)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 (-0.05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Discontinued due to lack of efficacy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 (0.1 to 13.8)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(-0.04 to 0.03)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Discontinued due to lack of efficacy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3/74 [4.1]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 (0.3 to 27.8)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(-0.03 to 0.08)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6/75 [8.0]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4/73 [5.5]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 (0.4 to 5.0)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(-0.06 to 0.11)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4/73 [5.5]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 (0.0 to 1.9)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 (-0.10 to 0.01)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 [1.4]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4/73 [5.5]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 (0.0 to 2.2)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 (-0.10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 [5.3]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3.9 (0.4 to 34.0)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(-0.02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4/83 [4.8]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3.5 (0.4 to 30.8)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(-0.02 to 0.09)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Gastroenteritis viral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 [1.4]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 (0.1 to 15.5)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(-0.04 to 0.04)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 [4.0]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 (0.1 to 2.4)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0.04)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 (0.0 to 1.5)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(-0.12 to 0.01)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 [6.8]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 (0.3 to 3.3)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 [4.0]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 (0.1 to 1.9)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 (-0.12 to 0.03)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 [6.0]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 (0.2 to 2.3)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 (-0.10 to 0.06)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Nasopharyngitis</w:t>
            </w:r>
            <w:proofErr w:type="spellEnd"/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 [6.8]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 (0.3 to 2.6)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 (-0.10 to 0.07)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7/75 [9.3]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2.3 (0.6 to 8.4)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 (-0.03 to 0.13)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 [6.0]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 (0.4 to 5.9)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 (-0.05 to 0.09)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6/74 [8.1]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 (0.5 to 7.6)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(-0.04 to 0.12)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1/75 [1.3]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 (0.0 to 3.0)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(-0.08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1/83 [1.2]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 (0.0 to 2.8)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(-0.08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Pharyngolaryngeal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pain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5/74 [6.8]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3/73 [4.1]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 (0.4 to 6.6)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(-0.05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 [5.3]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3.9 (0.4 to 34.0)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(-0.02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 [2.4]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 (0.2 to 19.0)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(-0.03 to 0.05)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 [5.4]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3.9 (0.5 to 34.5)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(-0.02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Treatment discontinuation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13/75 [17.3]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2.1 (0.8 to 5.3)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 (-0.02 to 0.20)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Treatment discontinuation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8/83 [9.6]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 (0.4 to 3.2)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(-0.08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Treatment discontinuation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12/74 [16.2]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6/73 [8.2]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 (0.8 to 5.0)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(-0.03 to 0.18)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4/75 [5.3]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 (0.2 to 2.8)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 (-0.09 to 0.06)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12/83 [14.5]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2.1 (0.8 to 5.7)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(-0.02 to 0.17)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3/74 [4.1]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5/73 [6.8]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 (0.1 to 2.4)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Viral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0/75 [0.0]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2/73 [2.7]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 (0.0 to 4.0)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 (-0.07 to 0.02)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Viral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3/83 [3.6]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2/73 [2.7]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 (0.2 to 7.7)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(-0.05 to 0.06)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Viral infection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 [5.4]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2/73 [2.7]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 (0.4 to 10.4)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(-0.04 to 0.09)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3/75 [4.0]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 (0.3 to 27.4)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 (-0.03 to 0.08)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2/83 [2.4]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 (0.2 to 19.0)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(-0.03 to 0.05)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4/74 [5.4]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3.9 (0.5 to 34.5)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(-0.02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5/75 [6.7]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4.9 (0.6 to 40.7)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 (-0.01 to 0.12)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5/83 [6.0]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4.4 (0.5 to 36.8)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 (-0.01 to 0.10)</w:t>
            </w:r>
          </w:p>
        </w:tc>
      </w:tr>
      <w:tr w:rsidR="00621C92" w:rsidRPr="00E55116" w:rsidTr="006A2A05">
        <w:trPr>
          <w:cantSplit/>
        </w:trPr>
        <w:tc>
          <w:tcPr>
            <w:tcW w:w="1327" w:type="pct"/>
            <w:shd w:val="clear" w:color="000000" w:fill="FFFFFF"/>
            <w:vAlign w:val="bottom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545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500mg</w:t>
            </w:r>
            <w:proofErr w:type="spellEnd"/>
          </w:p>
        </w:tc>
        <w:tc>
          <w:tcPr>
            <w:tcW w:w="70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1/74 [1.4]</w:t>
            </w:r>
          </w:p>
        </w:tc>
        <w:tc>
          <w:tcPr>
            <w:tcW w:w="70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1/73 [1.4]</w:t>
            </w:r>
          </w:p>
        </w:tc>
        <w:tc>
          <w:tcPr>
            <w:tcW w:w="81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 (0.1 to 15.5)</w:t>
            </w:r>
          </w:p>
        </w:tc>
        <w:tc>
          <w:tcPr>
            <w:tcW w:w="90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(-0.04 to 0.04)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Pr="00E55116" w:rsidRDefault="00621C92" w:rsidP="00621C92">
      <w:pPr>
        <w:rPr>
          <w:rFonts w:ascii="Arial" w:hAnsi="Arial" w:cs="Arial"/>
          <w:b/>
          <w:sz w:val="20"/>
          <w:szCs w:val="18"/>
        </w:rPr>
      </w:pPr>
    </w:p>
    <w:sectPr w:rsidR="00621C92" w:rsidRPr="00E55116" w:rsidSect="00043CBA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9C" w:rsidRDefault="00A6599C">
      <w:r>
        <w:separator/>
      </w:r>
    </w:p>
  </w:endnote>
  <w:endnote w:type="continuationSeparator" w:id="0">
    <w:p w:rsidR="00A6599C" w:rsidRDefault="00A6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043CBA">
      <w:rPr>
        <w:noProof/>
      </w:rPr>
      <w:t>92</w:t>
    </w:r>
    <w:r w:rsidR="003F6D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9D" w:rsidRDefault="0093279D" w:rsidP="0093279D">
    <w:pPr>
      <w:pStyle w:val="PageNumb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043CBA">
      <w:rPr>
        <w:noProof/>
      </w:rPr>
      <w:t>91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9C" w:rsidRDefault="00A6599C">
      <w:r>
        <w:separator/>
      </w:r>
    </w:p>
  </w:footnote>
  <w:footnote w:type="continuationSeparator" w:id="0">
    <w:p w:rsidR="00A6599C" w:rsidRDefault="00A6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9D" w:rsidRDefault="0093279D" w:rsidP="0093279D">
    <w:pPr>
      <w:pStyle w:val="Header"/>
    </w:pPr>
  </w:p>
  <w:p w:rsidR="0093279D" w:rsidRPr="0093279D" w:rsidRDefault="0093279D" w:rsidP="0093279D">
    <w:pPr>
      <w:keepNext/>
      <w:rPr>
        <w:rFonts w:ascii="Arial" w:hAnsi="Arial"/>
        <w:b/>
        <w:color w:val="000000"/>
        <w:sz w:val="20"/>
        <w:szCs w:val="24"/>
      </w:rPr>
    </w:pPr>
    <w:r w:rsidRPr="00383713">
      <w:rPr>
        <w:rFonts w:ascii="Arial" w:hAnsi="Arial"/>
        <w:b/>
        <w:color w:val="000000"/>
        <w:sz w:val="20"/>
        <w:szCs w:val="24"/>
      </w:rPr>
      <w:t xml:space="preserve">Appendix Table </w:t>
    </w:r>
    <w:proofErr w:type="spellStart"/>
    <w:r w:rsidRPr="00383713">
      <w:rPr>
        <w:rFonts w:ascii="Arial" w:hAnsi="Arial"/>
        <w:b/>
        <w:color w:val="000000"/>
        <w:sz w:val="20"/>
        <w:szCs w:val="24"/>
      </w:rPr>
      <w:t>D</w:t>
    </w:r>
    <w:r>
      <w:rPr>
        <w:rFonts w:ascii="Arial" w:hAnsi="Arial"/>
        <w:b/>
        <w:color w:val="000000"/>
        <w:sz w:val="20"/>
        <w:szCs w:val="24"/>
      </w:rPr>
      <w:t>56</w:t>
    </w:r>
    <w:proofErr w:type="spellEnd"/>
    <w:r w:rsidRPr="00383713">
      <w:rPr>
        <w:rFonts w:ascii="Arial" w:hAnsi="Arial"/>
        <w:b/>
        <w:color w:val="000000"/>
        <w:sz w:val="20"/>
        <w:szCs w:val="24"/>
      </w:rPr>
      <w:t xml:space="preserve">. Adverse effects with </w:t>
    </w:r>
    <w:proofErr w:type="spellStart"/>
    <w:r w:rsidRPr="00383713">
      <w:rPr>
        <w:rFonts w:ascii="Arial" w:hAnsi="Arial"/>
        <w:b/>
        <w:color w:val="000000"/>
        <w:sz w:val="20"/>
        <w:szCs w:val="24"/>
      </w:rPr>
      <w:t>divalproex</w:t>
    </w:r>
    <w:proofErr w:type="spellEnd"/>
    <w:r w:rsidRPr="00383713">
      <w:rPr>
        <w:rFonts w:ascii="Arial" w:hAnsi="Arial"/>
        <w:b/>
        <w:color w:val="000000"/>
        <w:sz w:val="20"/>
        <w:szCs w:val="24"/>
      </w:rPr>
      <w:t xml:space="preserve"> sodium </w:t>
    </w:r>
    <w:r>
      <w:rPr>
        <w:rFonts w:ascii="Arial" w:hAnsi="Arial"/>
        <w:b/>
        <w:color w:val="000000"/>
        <w:sz w:val="20"/>
        <w:szCs w:val="24"/>
      </w:rPr>
      <w:t>vs.</w:t>
    </w:r>
    <w:r w:rsidRPr="00383713">
      <w:rPr>
        <w:rFonts w:ascii="Arial" w:hAnsi="Arial"/>
        <w:b/>
        <w:color w:val="000000"/>
        <w:sz w:val="20"/>
        <w:szCs w:val="24"/>
      </w:rPr>
      <w:t xml:space="preserve"> placebo in children (results from</w:t>
    </w:r>
    <w:r>
      <w:rPr>
        <w:rFonts w:ascii="Arial" w:hAnsi="Arial"/>
        <w:b/>
        <w:color w:val="000000"/>
        <w:sz w:val="20"/>
        <w:szCs w:val="24"/>
      </w:rPr>
      <w:t xml:space="preserve"> low risk of bias</w:t>
    </w:r>
    <w:r w:rsidRPr="00383713">
      <w:rPr>
        <w:rFonts w:ascii="Arial" w:hAnsi="Arial"/>
        <w:b/>
        <w:color w:val="000000"/>
        <w:sz w:val="20"/>
        <w:szCs w:val="24"/>
      </w:rPr>
      <w:t xml:space="preserve"> randomized controlled clinical trial)</w:t>
    </w:r>
    <w:r w:rsidRPr="00CC323C"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/>
        <w:b/>
        <w:color w:val="000000"/>
        <w:sz w:val="20"/>
        <w:szCs w:val="24"/>
      </w:rPr>
      <w:t>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43CBA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279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6599C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34601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CCE4-044D-4A99-A2BC-027D6E6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4640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2013-07-03T13:49:00Z</dcterms:modified>
</cp:coreProperties>
</file>