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D50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>. Strength of evidence about treatment discontinuation due to adverse effects with antiepileptic drugs for migraine prevention in children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29"/>
        <w:gridCol w:w="1017"/>
        <w:gridCol w:w="687"/>
        <w:gridCol w:w="947"/>
        <w:gridCol w:w="1137"/>
        <w:gridCol w:w="857"/>
        <w:gridCol w:w="1287"/>
        <w:gridCol w:w="1027"/>
        <w:gridCol w:w="1017"/>
        <w:gridCol w:w="987"/>
        <w:gridCol w:w="1986"/>
      </w:tblGrid>
      <w:tr w:rsidR="00621C92" w:rsidRPr="00E55116" w:rsidTr="006A2A05">
        <w:trPr>
          <w:trHeight w:val="144"/>
          <w:tblHeader/>
        </w:trPr>
        <w:tc>
          <w:tcPr>
            <w:tcW w:w="497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Active drug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Rate with drug, % [placebo]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RCTs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Dose response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Conclusion</w:t>
            </w:r>
          </w:p>
        </w:tc>
      </w:tr>
      <w:tr w:rsidR="00621C92" w:rsidRPr="00E55116" w:rsidTr="006A2A05">
        <w:trPr>
          <w:trHeight w:val="144"/>
        </w:trPr>
        <w:tc>
          <w:tcPr>
            <w:tcW w:w="497" w:type="pct"/>
            <w:vMerge w:val="restar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U.S. Food and Drug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Administration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proofErr w:type="spellEnd"/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4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38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[1.4]</w:t>
            </w:r>
          </w:p>
        </w:tc>
        <w:tc>
          <w:tcPr>
            <w:tcW w:w="25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2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8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8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8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resulted in greater treatment discontinuation rates vs. placebo</w:t>
            </w:r>
          </w:p>
        </w:tc>
      </w:tr>
      <w:tr w:rsidR="00621C92" w:rsidRPr="00E55116" w:rsidTr="006A2A05">
        <w:trPr>
          <w:trHeight w:val="1124"/>
        </w:trPr>
        <w:tc>
          <w:tcPr>
            <w:tcW w:w="497" w:type="pct"/>
            <w:vMerge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38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[1.4]</w:t>
            </w:r>
          </w:p>
        </w:tc>
        <w:tc>
          <w:tcPr>
            <w:tcW w:w="25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2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8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8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8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did not result in greater treatment discontinuation rates vs. placebo</w:t>
            </w:r>
          </w:p>
        </w:tc>
      </w:tr>
      <w:tr w:rsidR="00621C92" w:rsidRPr="00E55116" w:rsidTr="006A2A05">
        <w:trPr>
          <w:trHeight w:val="1873"/>
        </w:trPr>
        <w:tc>
          <w:tcPr>
            <w:tcW w:w="497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94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38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7.1[3.4]</w:t>
            </w:r>
          </w:p>
        </w:tc>
        <w:tc>
          <w:tcPr>
            <w:tcW w:w="25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2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8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8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8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836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did not result  in greater treatment discontinuation rates vs. placebo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53525B">
      <w:footerReference w:type="default" r:id="rId9"/>
      <w:pgSz w:w="15840" w:h="12240" w:orient="landscape"/>
      <w:pgMar w:top="1440" w:right="1440" w:bottom="1440" w:left="1440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7C" w:rsidRDefault="00BA5D7C">
      <w:r>
        <w:separator/>
      </w:r>
    </w:p>
  </w:endnote>
  <w:endnote w:type="continuationSeparator" w:id="0">
    <w:p w:rsidR="00BA5D7C" w:rsidRDefault="00B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53525B">
      <w:rPr>
        <w:noProof/>
      </w:rPr>
      <w:t>67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7C" w:rsidRDefault="00BA5D7C">
      <w:r>
        <w:separator/>
      </w:r>
    </w:p>
  </w:footnote>
  <w:footnote w:type="continuationSeparator" w:id="0">
    <w:p w:rsidR="00BA5D7C" w:rsidRDefault="00BA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597A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B760F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3525B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5D7C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26C6-B02B-4538-B462-1BF6A617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842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2013-07-03T13:45:00Z</dcterms:modified>
</cp:coreProperties>
</file>