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2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D38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Risk of bias in randomized controlled clinical trials that examined dose response effectiveness of drugs for migraine prevention in children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647"/>
        <w:gridCol w:w="1889"/>
        <w:gridCol w:w="2285"/>
        <w:gridCol w:w="2285"/>
        <w:gridCol w:w="1958"/>
        <w:gridCol w:w="1397"/>
      </w:tblGrid>
      <w:tr w:rsidR="00621C92" w:rsidRPr="00E55116" w:rsidTr="006A2A05">
        <w:trPr>
          <w:trHeight w:val="144"/>
          <w:tblHeader/>
        </w:trPr>
        <w:tc>
          <w:tcPr>
            <w:tcW w:w="65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Reference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Masking of treatment status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Intention to treat analysis preplanned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Allocation concealment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Adequacy of randomization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Selective outcome reporting</w:t>
            </w:r>
          </w:p>
        </w:tc>
        <w:tc>
          <w:tcPr>
            <w:tcW w:w="53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20"/>
                <w:szCs w:val="18"/>
              </w:rPr>
              <w:t>Risk of bias</w:t>
            </w:r>
          </w:p>
        </w:tc>
      </w:tr>
      <w:tr w:rsidR="00621C92" w:rsidRPr="00E55116" w:rsidTr="006A2A05">
        <w:trPr>
          <w:trHeight w:val="144"/>
        </w:trPr>
        <w:tc>
          <w:tcPr>
            <w:tcW w:w="65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62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Clearly adequate (computer-generated randomization schedule)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adequate (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higher mean frequency and days of migraine compared to other groups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higher percentage of men and women compared to other groups)</w:t>
            </w:r>
          </w:p>
        </w:tc>
        <w:tc>
          <w:tcPr>
            <w:tcW w:w="74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3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65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2007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62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74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3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65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noProof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Apostol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5 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U.S. Food and Drug Administration,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2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74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3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65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2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Clearly adequate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74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3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65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Pandina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62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7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6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</w:p>
        </w:tc>
        <w:tc>
          <w:tcPr>
            <w:tcW w:w="74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30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DC5CA8">
      <w:footerReference w:type="default" r:id="rId9"/>
      <w:pgSz w:w="15840" w:h="12240" w:orient="landscape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E5" w:rsidRDefault="005315E5">
      <w:r>
        <w:separator/>
      </w:r>
    </w:p>
  </w:endnote>
  <w:endnote w:type="continuationSeparator" w:id="0">
    <w:p w:rsidR="005315E5" w:rsidRDefault="0053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DC5CA8">
      <w:rPr>
        <w:noProof/>
      </w:rPr>
      <w:t>45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E5" w:rsidRDefault="005315E5">
      <w:r>
        <w:separator/>
      </w:r>
    </w:p>
  </w:footnote>
  <w:footnote w:type="continuationSeparator" w:id="0">
    <w:p w:rsidR="005315E5" w:rsidRDefault="0053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315E5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6F6B37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322E4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C5CA8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20B5-6312-44F2-90C9-4B44B2FD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927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2013-07-03T13:19:00Z</dcterms:modified>
</cp:coreProperties>
</file>