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18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18"/>
        </w:rPr>
        <w:t xml:space="preserve">Appendix Table D64. Randomized controlled clinical trials that examined comparative effectiveness of </w:t>
      </w:r>
      <w:r w:rsidRPr="00EE64F3">
        <w:rPr>
          <w:rFonts w:ascii="Arial" w:hAnsi="Arial" w:cs="Arial"/>
          <w:b/>
          <w:color w:val="000000"/>
          <w:sz w:val="20"/>
          <w:szCs w:val="18"/>
        </w:rPr>
        <w:t>onabotulinumtoxin A</w:t>
      </w:r>
      <w:r w:rsidRPr="00EE64F3" w:rsidDel="00247415">
        <w:rPr>
          <w:rFonts w:ascii="Arial" w:hAnsi="Arial"/>
          <w:b/>
          <w:color w:val="000000"/>
          <w:sz w:val="20"/>
          <w:szCs w:val="18"/>
        </w:rPr>
        <w:t xml:space="preserve"> </w:t>
      </w:r>
      <w:r w:rsidRPr="00EE64F3">
        <w:rPr>
          <w:rFonts w:ascii="Arial" w:hAnsi="Arial"/>
          <w:b/>
          <w:color w:val="000000"/>
          <w:sz w:val="20"/>
          <w:szCs w:val="18"/>
        </w:rPr>
        <w:t>for migraine prevention in adults</w:t>
      </w:r>
    </w:p>
    <w:tbl>
      <w:tblPr>
        <w:tblW w:w="5000" w:type="pct"/>
        <w:tblLook w:val="00A0"/>
      </w:tblPr>
      <w:tblGrid>
        <w:gridCol w:w="1171"/>
        <w:gridCol w:w="946"/>
        <w:gridCol w:w="2011"/>
        <w:gridCol w:w="1239"/>
        <w:gridCol w:w="801"/>
        <w:gridCol w:w="1428"/>
        <w:gridCol w:w="1094"/>
        <w:gridCol w:w="1036"/>
        <w:gridCol w:w="1339"/>
        <w:gridCol w:w="2111"/>
      </w:tblGrid>
      <w:tr w:rsidR="003C5758" w:rsidRPr="00EE64F3" w:rsidTr="00B210CE">
        <w:trPr>
          <w:trHeight w:val="144"/>
          <w:tblHeader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Objective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Sample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umber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nalyzed]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Presence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ithout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everity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Comorbidity</w:t>
            </w:r>
          </w:p>
        </w:tc>
      </w:tr>
      <w:tr w:rsidR="003C5758" w:rsidRPr="00EE64F3" w:rsidTr="00B210CE">
        <w:trPr>
          <w:trHeight w:val="14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Millan-Guerrero,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Histamine vs. botulinum toxin type A (BoNTA)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[100]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92% women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Mean: 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 81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migraine frequency (days): 4.12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Onabotulinumtoxin A (BOTOX, Allergan, Inc) vs.  topiramate (TOPAMAX, Ortho-McNeil)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 [33]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90% women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Mean: 36.8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headache with or without aura occurring  on &gt;14 days/month for &gt;3 months in the absence of medication overuse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 NR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 days: 15.6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Magalhaes,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Botulinum toxin type A vs. amitriptyline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72 [unclear]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97.2% women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Mean: 34.1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Chronic daily migraines, according to the International Classification of Headache Disorders-II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 NR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(Number of pain days at baseline: 24)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Cady,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Onabotulinumtoxin A vs.  topiramate (CM)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59 [44]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91.5% women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Mean: 39.6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Chronic migraine (CM) fulfilling criteria of the Second Edition of the ICHD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 NR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16 (median)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(Headache days/month: 21.1)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Every subject reported at least one problem with a body system (58/59, neurological; 39/59. psychological). A physical/neurological abnormality was found in 13.6% (8/59)</w:t>
            </w:r>
          </w:p>
        </w:tc>
      </w:tr>
      <w:tr w:rsidR="003C5758" w:rsidRPr="00EE64F3" w:rsidTr="00B210CE">
        <w:trPr>
          <w:trHeight w:val="14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Blumenfeld,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Botulinum toxin type A (BoNTA; BOTOX®: Allergan, Inc.) vs. divalproex sodium (DVPX; DEPAKOTE®: Abbott Laboratories)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59 [59]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84.7% women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Mean: 42.4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ind w:right="-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Episodic migraine (defined for this study as ≥3 migrainous headaches but &lt;15 days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/month) or chronic migraine (defined for this study as migrainous  headaches on 15 days/month)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without aura NR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Number of headache days per month: 11.7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5F2E5E" w:rsidRPr="005F2E5E" w:rsidRDefault="003C5758" w:rsidP="00B858DD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lastRenderedPageBreak/>
        <w:t>NR = not reported</w:t>
      </w:r>
      <w:bookmarkEnd w:id="0"/>
    </w:p>
    <w:sectPr w:rsidR="005F2E5E" w:rsidRPr="005F2E5E" w:rsidSect="00812831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8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1E" w:rsidRDefault="00B4351E">
      <w:r>
        <w:separator/>
      </w:r>
    </w:p>
  </w:endnote>
  <w:endnote w:type="continuationSeparator" w:id="0">
    <w:p w:rsidR="00B4351E" w:rsidRDefault="00B4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08"/>
      <w:docPartObj>
        <w:docPartGallery w:val="Page Numbers (Bottom of Page)"/>
        <w:docPartUnique/>
      </w:docPartObj>
    </w:sdtPr>
    <w:sdtContent>
      <w:p w:rsidR="00B858DD" w:rsidRDefault="00B858DD">
        <w:pPr>
          <w:pStyle w:val="Footer"/>
          <w:jc w:val="center"/>
        </w:pPr>
        <w:r>
          <w:t>D-</w:t>
        </w:r>
        <w:fldSimple w:instr=" PAGE   \* MERGEFORMAT ">
          <w:r w:rsidR="00812831">
            <w:rPr>
              <w:noProof/>
            </w:rPr>
            <w:t>182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573"/>
      <w:docPartObj>
        <w:docPartGallery w:val="Page Numbers (Bottom of Page)"/>
        <w:docPartUnique/>
      </w:docPartObj>
    </w:sdtPr>
    <w:sdtContent>
      <w:p w:rsidR="00812831" w:rsidRDefault="00812831">
        <w:pPr>
          <w:pStyle w:val="Footer"/>
          <w:jc w:val="center"/>
        </w:pPr>
        <w:r>
          <w:t>D-</w:t>
        </w:r>
        <w:fldSimple w:instr=" PAGE   \* MERGEFORMAT ">
          <w:r>
            <w:rPr>
              <w:noProof/>
            </w:rPr>
            <w:t>181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1E" w:rsidRDefault="00B4351E">
      <w:r>
        <w:separator/>
      </w:r>
    </w:p>
  </w:footnote>
  <w:footnote w:type="continuationSeparator" w:id="0">
    <w:p w:rsidR="00B4351E" w:rsidRDefault="00B4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31" w:rsidRDefault="00812831" w:rsidP="00812831">
    <w:pPr>
      <w:pStyle w:val="TableTitle"/>
    </w:pPr>
    <w:r>
      <w:t>Appendix Table D</w:t>
    </w:r>
    <w:r w:rsidRPr="003A2282">
      <w:t>6</w:t>
    </w:r>
    <w:r>
      <w:t>4</w:t>
    </w:r>
    <w:r w:rsidRPr="003A2282">
      <w:t>. Randomized controlled clinical trials that examined comparative effectiveness of botulinum toxin fo</w:t>
    </w:r>
    <w:r>
      <w:t>r migraine prevention in adults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C45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0E08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2831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55C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351E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58DD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B0D6-C34C-4C66-A12D-01C2FD36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1947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2013-05-10T04:34:00Z</dcterms:created>
  <dcterms:modified xsi:type="dcterms:W3CDTF">2013-05-10T11:06:00Z</dcterms:modified>
</cp:coreProperties>
</file>