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F8</w:t>
      </w:r>
      <w:r w:rsidRPr="00F705D7">
        <w:rPr>
          <w:rFonts w:ascii="Arial" w:hAnsi="Arial" w:cs="Arial"/>
        </w:rPr>
        <w:t xml:space="preserve">. MRSA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nfection: </w:t>
      </w:r>
      <w:r>
        <w:rPr>
          <w:rFonts w:ascii="Arial" w:hAnsi="Arial" w:cs="Arial"/>
        </w:rPr>
        <w:t>studies that used statistical methods to attempt to control for confounding or secular trends</w:t>
      </w:r>
      <w:r w:rsidRPr="00F705D7">
        <w:rPr>
          <w:rFonts w:ascii="Arial" w:hAnsi="Arial" w:cs="Arial"/>
        </w:rPr>
        <w:t xml:space="preserve"> </w:t>
      </w:r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50"/>
        <w:gridCol w:w="1744"/>
        <w:gridCol w:w="1356"/>
        <w:gridCol w:w="1356"/>
        <w:gridCol w:w="969"/>
        <w:gridCol w:w="1066"/>
        <w:gridCol w:w="2035"/>
        <w:gridCol w:w="3100"/>
      </w:tblGrid>
      <w:tr w:rsidR="006D2552" w:rsidRPr="00FF3074" w:rsidTr="00B220F9">
        <w:trPr>
          <w:trHeight w:val="20"/>
          <w:tblHeader/>
        </w:trPr>
        <w:tc>
          <w:tcPr>
            <w:tcW w:w="1550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744" w:type="dxa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969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06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2035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3100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Multivariate analysis </w:t>
            </w:r>
          </w:p>
        </w:tc>
      </w:tr>
      <w:tr w:rsidR="006D2552" w:rsidRPr="00FF3074" w:rsidTr="00B220F9">
        <w:trPr>
          <w:trHeight w:val="20"/>
          <w:tblHeader/>
        </w:trPr>
        <w:tc>
          <w:tcPr>
            <w:tcW w:w="1550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Chaberny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  <w:r w:rsidRPr="00FF3074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1744" w:type="dxa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F3074">
              <w:rPr>
                <w:rFonts w:ascii="Arial" w:eastAsia="Calibri" w:hAnsi="Arial" w:cs="Arial"/>
                <w:sz w:val="18"/>
                <w:szCs w:val="18"/>
              </w:rPr>
              <w:t>Segmented regression analysis of interrupted time series, incidence density of MRSA-positive patients per 1000 pd in the whole hospital:</w:t>
            </w:r>
          </w:p>
          <w:p w:rsidR="006D2552" w:rsidRPr="00FF3074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F3074">
              <w:rPr>
                <w:rFonts w:ascii="Arial" w:eastAsia="Calibri" w:hAnsi="Arial" w:cs="Arial"/>
                <w:sz w:val="18"/>
                <w:szCs w:val="18"/>
              </w:rPr>
              <w:t xml:space="preserve">Slope before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intervention </w:t>
            </w:r>
            <w:r w:rsidRPr="00FF3074">
              <w:rPr>
                <w:rFonts w:ascii="Arial" w:eastAsia="Calibri" w:hAnsi="Arial" w:cs="Arial"/>
                <w:sz w:val="18"/>
                <w:szCs w:val="18"/>
              </w:rPr>
              <w:t>0.0340 (95% CI .026 to 0.042), p&lt;0.001</w:t>
            </w:r>
          </w:p>
          <w:p w:rsidR="006D2552" w:rsidRPr="00FF3074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F3074">
              <w:rPr>
                <w:rFonts w:ascii="Arial" w:eastAsia="Calibri" w:hAnsi="Arial" w:cs="Arial"/>
                <w:sz w:val="18"/>
                <w:szCs w:val="18"/>
              </w:rPr>
              <w:t xml:space="preserve">Change in level after </w:t>
            </w:r>
            <w:r>
              <w:rPr>
                <w:rFonts w:ascii="Arial" w:eastAsia="Calibri" w:hAnsi="Arial" w:cs="Arial"/>
                <w:sz w:val="18"/>
                <w:szCs w:val="18"/>
              </w:rPr>
              <w:t>intervention</w:t>
            </w:r>
            <w:r w:rsidRPr="00FF3074">
              <w:rPr>
                <w:rFonts w:ascii="Arial" w:eastAsia="Calibri" w:hAnsi="Arial" w:cs="Arial"/>
                <w:sz w:val="18"/>
                <w:szCs w:val="18"/>
              </w:rPr>
              <w:t>: Not significant</w:t>
            </w:r>
          </w:p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074">
              <w:rPr>
                <w:rFonts w:ascii="Arial" w:eastAsia="Calibri" w:hAnsi="Arial" w:cs="Arial"/>
                <w:sz w:val="18"/>
                <w:szCs w:val="18"/>
              </w:rPr>
              <w:t xml:space="preserve">Change in slope after </w:t>
            </w:r>
            <w:r>
              <w:rPr>
                <w:rFonts w:ascii="Arial" w:eastAsia="Calibri" w:hAnsi="Arial" w:cs="Arial"/>
                <w:sz w:val="18"/>
                <w:szCs w:val="18"/>
              </w:rPr>
              <w:t>intervention</w:t>
            </w:r>
            <w:r w:rsidRPr="00FF3074">
              <w:rPr>
                <w:rFonts w:ascii="Arial" w:eastAsia="Calibri" w:hAnsi="Arial" w:cs="Arial"/>
                <w:sz w:val="18"/>
                <w:szCs w:val="18"/>
              </w:rPr>
              <w:t>: -0.015 (95% CI -0.032 to 0.001), p 0.002</w:t>
            </w:r>
          </w:p>
        </w:tc>
      </w:tr>
      <w:tr w:rsidR="006D2552" w:rsidRPr="00FF3074" w:rsidTr="00B220F9">
        <w:trPr>
          <w:trHeight w:val="20"/>
        </w:trPr>
        <w:tc>
          <w:tcPr>
            <w:tcW w:w="1550" w:type="dxa"/>
            <w:shd w:val="clear" w:color="auto" w:fill="auto"/>
          </w:tcPr>
          <w:p w:rsidR="006D2552" w:rsidRPr="0002229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22292">
              <w:rPr>
                <w:rFonts w:ascii="Arial" w:hAnsi="Arial" w:cs="Arial"/>
                <w:sz w:val="18"/>
                <w:szCs w:val="18"/>
              </w:rPr>
              <w:t>Raineri et al., 2007,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r w:rsidRPr="00022292">
              <w:rPr>
                <w:rFonts w:ascii="Arial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1744" w:type="dxa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ICU Risk Pts Vs </w:t>
            </w:r>
            <w:r w:rsidRPr="00FF3074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3.5 (2.1-5.4) per 1000 patient days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1: 1.7 (1.1-2.5) per 1000 patient days</w:t>
            </w:r>
          </w:p>
        </w:tc>
        <w:tc>
          <w:tcPr>
            <w:tcW w:w="969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p=0.0023</w:t>
            </w:r>
          </w:p>
        </w:tc>
        <w:tc>
          <w:tcPr>
            <w:tcW w:w="1066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Chi square, Fisher’s exact test, Kruskal-Wallis analysis of variance</w:t>
            </w:r>
          </w:p>
        </w:tc>
        <w:tc>
          <w:tcPr>
            <w:tcW w:w="3100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Segmented regression Significant rate level reduction after intervention 1:β</w:t>
            </w:r>
            <w:r w:rsidRPr="00FF307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F3074">
              <w:rPr>
                <w:rFonts w:ascii="Arial" w:hAnsi="Arial" w:cs="Arial"/>
                <w:sz w:val="18"/>
                <w:szCs w:val="18"/>
              </w:rPr>
              <w:t>: -3.9, 95% CI -6.31 to -1.40, p=0.003</w:t>
            </w:r>
          </w:p>
          <w:p w:rsidR="006D2552" w:rsidRPr="00FF307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3074">
              <w:rPr>
                <w:rFonts w:ascii="Arial" w:hAnsi="Arial" w:cs="Arial"/>
                <w:sz w:val="18"/>
                <w:szCs w:val="18"/>
              </w:rPr>
              <w:t>Significant trend change after intervention 1: β</w:t>
            </w:r>
            <w:r w:rsidRPr="00FF3074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F3074">
              <w:rPr>
                <w:rFonts w:ascii="Arial" w:hAnsi="Arial" w:cs="Arial"/>
                <w:sz w:val="18"/>
                <w:szCs w:val="18"/>
              </w:rPr>
              <w:t>: -0.7, 95% CI -1.22 to -0.24, p=0.005</w:t>
            </w:r>
          </w:p>
        </w:tc>
      </w:tr>
      <w:tr w:rsidR="006D2552" w:rsidRPr="00FF3074" w:rsidTr="00B220F9">
        <w:trPr>
          <w:trHeight w:val="20"/>
        </w:trPr>
        <w:tc>
          <w:tcPr>
            <w:tcW w:w="1550" w:type="dxa"/>
            <w:shd w:val="clear" w:color="auto" w:fill="auto"/>
          </w:tcPr>
          <w:p w:rsidR="006D2552" w:rsidRPr="00FF3074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Reilly et al., 2012,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Scotland</w:t>
            </w:r>
          </w:p>
        </w:tc>
        <w:tc>
          <w:tcPr>
            <w:tcW w:w="1744" w:type="dxa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Targeted screening vs no screening</w:t>
            </w: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P=0.0209</w:t>
            </w:r>
          </w:p>
        </w:tc>
        <w:tc>
          <w:tcPr>
            <w:tcW w:w="1066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Incidence of MRSA infection </w:t>
            </w:r>
            <w:r w:rsidRPr="00C30870">
              <w:rPr>
                <w:rFonts w:ascii="Arial" w:hAnsi="Arial" w:cs="Arial"/>
                <w:sz w:val="18"/>
                <w:szCs w:val="18"/>
              </w:rPr>
              <w:t>decreased du</w:t>
            </w:r>
            <w:r>
              <w:rPr>
                <w:rFonts w:ascii="Arial" w:hAnsi="Arial" w:cs="Arial"/>
                <w:sz w:val="18"/>
                <w:szCs w:val="18"/>
              </w:rPr>
              <w:t>ring the year of the intervention</w:t>
            </w:r>
          </w:p>
        </w:tc>
        <w:tc>
          <w:tcPr>
            <w:tcW w:w="2035" w:type="dxa"/>
            <w:shd w:val="clear" w:color="auto" w:fill="auto"/>
          </w:tcPr>
          <w:p w:rsidR="006D2552" w:rsidRPr="00FF3074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auto"/>
          </w:tcPr>
          <w:p w:rsidR="006D2552" w:rsidRPr="00FD0346" w:rsidRDefault="006D2552" w:rsidP="00B220F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Poisson regression revealed a 37% decrease in first non-screening clinical isolates of MRSA for two NHS boards (95% CI: 28.6-44.7%) and 11.7% (95% CI 1.2-21.1%) for the other NHS board.</w:t>
            </w:r>
          </w:p>
        </w:tc>
      </w:tr>
    </w:tbl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 xml:space="preserve">C: Control; CI: Confidence interval; Diff: Difference; I: Intervention; ICU: Intensive care unit;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 w:rsidRPr="00CB67C1">
        <w:rPr>
          <w:sz w:val="18"/>
          <w:szCs w:val="18"/>
        </w:rPr>
        <w:t>Y: Yes</w:t>
      </w:r>
    </w:p>
    <w:p w:rsidR="006D2552" w:rsidRDefault="006D2552" w:rsidP="006D2552">
      <w:pPr>
        <w:rPr>
          <w:sz w:val="18"/>
          <w:szCs w:val="18"/>
        </w:rPr>
      </w:pPr>
    </w:p>
    <w:p w:rsidR="006D2552" w:rsidRDefault="006D2552" w:rsidP="006D2552">
      <w:pPr>
        <w:rPr>
          <w:sz w:val="18"/>
          <w:szCs w:val="18"/>
        </w:rPr>
      </w:pPr>
    </w:p>
    <w:p w:rsidR="006D2552" w:rsidRDefault="006D2552" w:rsidP="006D2552"/>
    <w:p w:rsidR="006D2552" w:rsidRDefault="006D2552" w:rsidP="006D2552">
      <w:pPr>
        <w:spacing w:after="200" w:line="276" w:lineRule="auto"/>
        <w:rPr>
          <w:sz w:val="18"/>
          <w:szCs w:val="18"/>
        </w:rPr>
      </w:pPr>
    </w:p>
    <w:sectPr w:rsidR="006D2552" w:rsidSect="00D37625">
      <w:footerReference w:type="default" r:id="rId8"/>
      <w:pgSz w:w="15840" w:h="12240" w:orient="landscape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39" w:rsidRDefault="00515139">
      <w:r>
        <w:separator/>
      </w:r>
    </w:p>
  </w:endnote>
  <w:endnote w:type="continuationSeparator" w:id="0">
    <w:p w:rsidR="00515139" w:rsidRDefault="0051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AC4276" w:rsidRPr="00AC4276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AC4276" w:rsidRPr="00AC4276">
          <w:rPr>
            <w:rFonts w:ascii="Calibri" w:hAnsi="Calibri"/>
          </w:rPr>
          <w:fldChar w:fldCharType="separate"/>
        </w:r>
        <w:r w:rsidR="00D37625" w:rsidRPr="00D37625">
          <w:rPr>
            <w:rFonts w:ascii="Times New Roman" w:hAnsi="Times New Roman"/>
            <w:noProof/>
          </w:rPr>
          <w:t>38</w:t>
        </w:r>
        <w:r w:rsidR="00AC4276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39" w:rsidRDefault="00515139">
      <w:r>
        <w:separator/>
      </w:r>
    </w:p>
  </w:footnote>
  <w:footnote w:type="continuationSeparator" w:id="0">
    <w:p w:rsidR="00515139" w:rsidRDefault="00515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3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1DED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3A59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3B9A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276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625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E67F-D447-4E3F-917A-AE4D9C1E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1574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2013-07-05T14:52:00Z</dcterms:created>
  <dcterms:modified xsi:type="dcterms:W3CDTF">2013-07-09T12:32:00Z</dcterms:modified>
</cp:coreProperties>
</file>