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F14</w:t>
      </w:r>
      <w:r w:rsidRPr="00F705D7">
        <w:rPr>
          <w:rFonts w:ascii="Arial" w:hAnsi="Arial" w:cs="Arial"/>
        </w:rPr>
        <w:t>. Healthcare-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MRSA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nfection: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49"/>
        <w:gridCol w:w="1260"/>
        <w:gridCol w:w="1356"/>
        <w:gridCol w:w="1454"/>
        <w:gridCol w:w="1066"/>
        <w:gridCol w:w="1550"/>
        <w:gridCol w:w="1550"/>
        <w:gridCol w:w="3391"/>
      </w:tblGrid>
      <w:tr w:rsidR="006D2552" w:rsidRPr="005D1710" w:rsidTr="00B220F9">
        <w:trPr>
          <w:trHeight w:val="20"/>
          <w:tblHeader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Author, Year,</w:t>
            </w:r>
          </w:p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MRSA Strategy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Diff (I-C)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Statistical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1710">
              <w:rPr>
                <w:rFonts w:ascii="Arial" w:hAnsi="Arial" w:cs="Arial"/>
                <w:b/>
                <w:sz w:val="18"/>
                <w:szCs w:val="18"/>
              </w:rPr>
              <w:t>Multivariate Analysis</w:t>
            </w: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Bowler et al., 2010,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18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High Risk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0.64 per 10000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0.32 per 1000 patient days 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Boyce et al., 2004,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19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p=0.033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Del="00A05E51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Chi-square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 w:val="restart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Clancy et al.,  2006,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SICU : 9.1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SICU : 4.7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p&lt;0.002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Paired 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MICU: 4.0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MICU : 3.3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p=0.62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Paired 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Wards: 0.53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Wards : 0.32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p=0.17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Paired 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Pooled: 4.5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Pooled : 2.8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p&lt;0.01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Paired 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Kurup et al.,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30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Singapore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2.7 per 1000 patient days 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2.4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p=0.48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-0.3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Student t-test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Sankar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37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p&lt;0.05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-2.4%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Fisher exact test, unpaired Student's t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 w:val="restart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Simmons et al., 2011,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39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1190" w:type="dxa"/>
            <w:vMerge w:val="restart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Surgical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Hospital-wide rates: 0.8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Hospital-wide rates:  0.38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p=0.0003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Nonparametric Wilcoxon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rPr>
          <w:trHeight w:val="20"/>
        </w:trPr>
        <w:tc>
          <w:tcPr>
            <w:tcW w:w="1463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ICU Rates : 3.19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ICU Rates : 1.66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p=0.005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Nonparametric Wilcoxon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blPrEx>
          <w:tblLook w:val="04A0"/>
        </w:tblPrEx>
        <w:trPr>
          <w:trHeight w:val="20"/>
        </w:trPr>
        <w:tc>
          <w:tcPr>
            <w:tcW w:w="146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Wernitz et al., </w:t>
            </w:r>
            <w:r w:rsidRPr="005D1710">
              <w:rPr>
                <w:rFonts w:ascii="Arial" w:hAnsi="Arial" w:cs="Arial"/>
                <w:sz w:val="18"/>
                <w:szCs w:val="18"/>
              </w:rPr>
              <w:lastRenderedPageBreak/>
              <w:t>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47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1190" w:type="dxa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Screening of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High Risk Pts Vs </w:t>
            </w:r>
            <w:r w:rsidRPr="00AE013C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lastRenderedPageBreak/>
              <w:t>48/119</w:t>
            </w:r>
            <w:r w:rsidRPr="005D1710" w:rsidDel="00D53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38/205</w:t>
            </w:r>
            <w:r w:rsidRPr="005D1710" w:rsidDel="00D53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 xml:space="preserve">Standardized infection ratio: 0.52 </w:t>
            </w:r>
            <w:r w:rsidRPr="005D1710">
              <w:rPr>
                <w:rFonts w:ascii="Arial" w:hAnsi="Arial" w:cs="Arial"/>
                <w:sz w:val="18"/>
                <w:szCs w:val="18"/>
              </w:rPr>
              <w:lastRenderedPageBreak/>
              <w:t>(38/73.2), 95% CI: 0.37-0.71. (Calculated by dividing the number of observed patients with health care-associated MRSA infection in the screening period by the expected number of patients with health care-associated MRSA infection calculated from nosocomial infection rates during the control period.</w:t>
            </w:r>
            <w:r w:rsidRPr="005D1710" w:rsidDel="00D53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2552" w:rsidRPr="005D1710" w:rsidTr="00B220F9">
        <w:tblPrEx>
          <w:tblLook w:val="04A0"/>
        </w:tblPrEx>
        <w:trPr>
          <w:trHeight w:val="20"/>
        </w:trPr>
        <w:tc>
          <w:tcPr>
            <w:tcW w:w="1463" w:type="dxa"/>
            <w:vMerge w:val="restart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lastRenderedPageBreak/>
              <w:t>West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48</w:t>
            </w:r>
            <w:r w:rsidRPr="005D1710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AE013C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 xml:space="preserve">Vs </w:t>
            </w:r>
            <w:r w:rsidRPr="00AE013C">
              <w:rPr>
                <w:rFonts w:ascii="Arial" w:hAnsi="Arial" w:cs="Arial"/>
                <w:sz w:val="18"/>
                <w:szCs w:val="18"/>
              </w:rPr>
              <w:t>Limited Screening</w:t>
            </w: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 1: Tertiary Care: 0.76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 1: Tertiary Care: 0.46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p=0.05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Wilcoxon rank sum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5D1710" w:rsidTr="00B220F9">
        <w:tblPrEx>
          <w:tblLook w:val="04A0"/>
        </w:tblPrEx>
        <w:trPr>
          <w:trHeight w:val="20"/>
        </w:trPr>
        <w:tc>
          <w:tcPr>
            <w:tcW w:w="1463" w:type="dxa"/>
            <w:vMerge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 2: Suburban: 0.72  per 1000 patient days</w:t>
            </w:r>
          </w:p>
        </w:tc>
        <w:tc>
          <w:tcPr>
            <w:tcW w:w="137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Hospital 2: Suburban: 0.57  per 1000 patient days</w:t>
            </w:r>
          </w:p>
        </w:tc>
        <w:tc>
          <w:tcPr>
            <w:tcW w:w="1007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p=0.35</w:t>
            </w: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D1710">
              <w:rPr>
                <w:rFonts w:ascii="Arial" w:hAnsi="Arial" w:cs="Arial"/>
                <w:sz w:val="18"/>
                <w:szCs w:val="18"/>
              </w:rPr>
              <w:t>Wilcoxon rank sum test</w:t>
            </w:r>
          </w:p>
        </w:tc>
        <w:tc>
          <w:tcPr>
            <w:tcW w:w="3203" w:type="dxa"/>
            <w:shd w:val="clear" w:color="auto" w:fill="auto"/>
          </w:tcPr>
          <w:p w:rsidR="006D2552" w:rsidRPr="005D1710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552" w:rsidRPr="00B22971" w:rsidRDefault="006D2552" w:rsidP="006D2552">
      <w:r>
        <w:rPr>
          <w:sz w:val="18"/>
          <w:szCs w:val="18"/>
        </w:rPr>
        <w:t xml:space="preserve">C: Control; CI: Confidence Interval; Diff: Difference; I: Intervention; ICU: Intensive Care Unit; MICU: Medical Intensive Care Unit; </w:t>
      </w:r>
      <w:r w:rsidRPr="001C161C">
        <w:rPr>
          <w:sz w:val="18"/>
          <w:szCs w:val="18"/>
        </w:rPr>
        <w:t xml:space="preserve">MRSA: Methicillin-resistant </w:t>
      </w:r>
      <w:r w:rsidRPr="001C161C">
        <w:rPr>
          <w:i/>
          <w:sz w:val="18"/>
          <w:szCs w:val="18"/>
        </w:rPr>
        <w:t>Staphylococcus aureu</w:t>
      </w:r>
      <w:r>
        <w:rPr>
          <w:i/>
          <w:sz w:val="18"/>
          <w:szCs w:val="18"/>
        </w:rPr>
        <w:t xml:space="preserve">s; </w:t>
      </w:r>
      <w:r w:rsidRPr="00022292">
        <w:rPr>
          <w:sz w:val="18"/>
          <w:szCs w:val="18"/>
        </w:rPr>
        <w:t>N: No;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SICU: Surgical Intensive Care Unit</w:t>
      </w:r>
    </w:p>
    <w:p w:rsidR="006D2552" w:rsidRPr="009C6517" w:rsidRDefault="006D2552" w:rsidP="006D2552">
      <w:pPr>
        <w:spacing w:line="276" w:lineRule="auto"/>
        <w:rPr>
          <w:rFonts w:ascii="Arial" w:eastAsia="Calibri" w:hAnsi="Arial" w:cs="Arial"/>
          <w:b/>
          <w:sz w:val="20"/>
        </w:rPr>
      </w:pPr>
    </w:p>
    <w:p w:rsidR="006D2552" w:rsidRDefault="006D2552" w:rsidP="006D2552">
      <w:pPr>
        <w:spacing w:after="200" w:line="276" w:lineRule="auto"/>
      </w:pPr>
    </w:p>
    <w:sectPr w:rsidR="006D2552" w:rsidSect="007F2116">
      <w:footerReference w:type="default" r:id="rId8"/>
      <w:pgSz w:w="15840" w:h="12240" w:orient="landscape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DA" w:rsidRDefault="00BF0CDA">
      <w:r>
        <w:separator/>
      </w:r>
    </w:p>
  </w:endnote>
  <w:endnote w:type="continuationSeparator" w:id="0">
    <w:p w:rsidR="00BF0CDA" w:rsidRDefault="00BF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0670F6" w:rsidRPr="000670F6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0670F6" w:rsidRPr="000670F6">
          <w:rPr>
            <w:rFonts w:ascii="Calibri" w:hAnsi="Calibri"/>
          </w:rPr>
          <w:fldChar w:fldCharType="separate"/>
        </w:r>
        <w:r w:rsidR="007F2116" w:rsidRPr="007F2116">
          <w:rPr>
            <w:rFonts w:ascii="Times New Roman" w:hAnsi="Times New Roman"/>
            <w:noProof/>
          </w:rPr>
          <w:t>49</w:t>
        </w:r>
        <w:r w:rsidR="000670F6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DA" w:rsidRDefault="00BF0CDA">
      <w:r>
        <w:separator/>
      </w:r>
    </w:p>
  </w:footnote>
  <w:footnote w:type="continuationSeparator" w:id="0">
    <w:p w:rsidR="00BF0CDA" w:rsidRDefault="00BF0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670F6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873DE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116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A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35C75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25D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889F-D2E0-4705-989B-0A47187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2624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2013-07-05T14:57:00Z</dcterms:created>
  <dcterms:modified xsi:type="dcterms:W3CDTF">2013-07-09T12:51:00Z</dcterms:modified>
</cp:coreProperties>
</file>