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F13</w:t>
      </w:r>
      <w:r w:rsidRPr="00F705D7">
        <w:rPr>
          <w:rFonts w:ascii="Arial" w:hAnsi="Arial" w:cs="Arial"/>
        </w:rPr>
        <w:t xml:space="preserve">. Health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>are-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ssociated or </w:t>
      </w:r>
      <w:r>
        <w:rPr>
          <w:rFonts w:ascii="Arial" w:hAnsi="Arial" w:cs="Arial"/>
        </w:rPr>
        <w:t>a</w:t>
      </w:r>
      <w:r w:rsidRPr="00F705D7">
        <w:rPr>
          <w:rFonts w:ascii="Arial" w:hAnsi="Arial" w:cs="Arial"/>
        </w:rPr>
        <w:t xml:space="preserve">cquired MRSA </w:t>
      </w:r>
      <w:r>
        <w:rPr>
          <w:rFonts w:ascii="Arial" w:hAnsi="Arial" w:cs="Arial"/>
        </w:rPr>
        <w:t>i</w:t>
      </w:r>
      <w:r w:rsidRPr="00F705D7">
        <w:rPr>
          <w:rFonts w:ascii="Arial" w:hAnsi="Arial" w:cs="Arial"/>
        </w:rPr>
        <w:t xml:space="preserve">nfection or </w:t>
      </w:r>
      <w:r>
        <w:rPr>
          <w:rFonts w:ascii="Arial" w:hAnsi="Arial" w:cs="Arial"/>
        </w:rPr>
        <w:t>c</w:t>
      </w:r>
      <w:r w:rsidRPr="00F705D7">
        <w:rPr>
          <w:rFonts w:ascii="Arial" w:hAnsi="Arial" w:cs="Arial"/>
        </w:rPr>
        <w:t xml:space="preserve">olonization: </w:t>
      </w:r>
      <w:r>
        <w:rPr>
          <w:rFonts w:ascii="Arial" w:hAnsi="Arial" w:cs="Arial"/>
        </w:rPr>
        <w:t>studies that did not use statistical methods to attempt to control for confounding or secular trends</w:t>
      </w:r>
    </w:p>
    <w:tbl>
      <w:tblPr>
        <w:tblW w:w="5000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1540"/>
        <w:gridCol w:w="1539"/>
        <w:gridCol w:w="1250"/>
        <w:gridCol w:w="1346"/>
        <w:gridCol w:w="1346"/>
        <w:gridCol w:w="1154"/>
        <w:gridCol w:w="1635"/>
        <w:gridCol w:w="3366"/>
      </w:tblGrid>
      <w:tr w:rsidR="006D2552" w:rsidRPr="005C2327" w:rsidTr="00B220F9">
        <w:trPr>
          <w:trHeight w:val="20"/>
          <w:tblHeader/>
        </w:trPr>
        <w:tc>
          <w:tcPr>
            <w:tcW w:w="154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Author,</w:t>
            </w:r>
          </w:p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Year,</w:t>
            </w:r>
          </w:p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539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125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134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134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p value</w:t>
            </w:r>
          </w:p>
        </w:tc>
        <w:tc>
          <w:tcPr>
            <w:tcW w:w="1154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Diff (I-C)</w:t>
            </w:r>
          </w:p>
        </w:tc>
        <w:tc>
          <w:tcPr>
            <w:tcW w:w="1635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>Statistical Test</w:t>
            </w:r>
          </w:p>
        </w:tc>
        <w:tc>
          <w:tcPr>
            <w:tcW w:w="336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2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Multivariate analysis </w:t>
            </w:r>
          </w:p>
        </w:tc>
      </w:tr>
      <w:tr w:rsidR="006D2552" w:rsidRPr="005C2327" w:rsidTr="00B220F9">
        <w:trPr>
          <w:trHeight w:val="20"/>
        </w:trPr>
        <w:tc>
          <w:tcPr>
            <w:tcW w:w="1540" w:type="dxa"/>
            <w:shd w:val="clear" w:color="auto" w:fill="auto"/>
          </w:tcPr>
          <w:p w:rsidR="006D2552" w:rsidRPr="005C2327" w:rsidRDefault="006D2552" w:rsidP="00B220F9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Enoch et al.,  2011,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UK</w:t>
            </w:r>
          </w:p>
        </w:tc>
        <w:tc>
          <w:tcPr>
            <w:tcW w:w="1539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screening vs limited screening</w:t>
            </w:r>
          </w:p>
        </w:tc>
        <w:tc>
          <w:tcPr>
            <w:tcW w:w="125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8.6/1000 patient episodes (clinical isolates excluding bacteremia)</w:t>
            </w:r>
          </w:p>
        </w:tc>
        <w:tc>
          <w:tcPr>
            <w:tcW w:w="134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3.5/1000 patient episodes (clinical isolates excluding bacteremia)</w:t>
            </w:r>
          </w:p>
        </w:tc>
        <w:tc>
          <w:tcPr>
            <w:tcW w:w="134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1154" w:type="dxa"/>
            <w:shd w:val="clear" w:color="auto" w:fill="auto"/>
          </w:tcPr>
          <w:p w:rsidR="006D2552" w:rsidRPr="00B536B7" w:rsidRDefault="006D2552" w:rsidP="00B220F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B536B7">
              <w:rPr>
                <w:rFonts w:ascii="Arial" w:hAnsi="Arial" w:cs="Arial"/>
                <w:bCs/>
                <w:sz w:val="18"/>
                <w:szCs w:val="18"/>
              </w:rPr>
              <w:t>nnual decrease of between 0.47 and 1.61 cases/1000 patient episodes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p=</w:t>
            </w:r>
            <w:r w:rsidRPr="00B536B7">
              <w:rPr>
                <w:rFonts w:ascii="Arial" w:hAnsi="Arial" w:cs="Arial"/>
                <w:bCs/>
                <w:sz w:val="18"/>
                <w:szCs w:val="18"/>
              </w:rPr>
              <w:t>0.007).</w:t>
            </w:r>
          </w:p>
        </w:tc>
        <w:tc>
          <w:tcPr>
            <w:tcW w:w="1635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Chi-square</w:t>
            </w:r>
          </w:p>
        </w:tc>
        <w:tc>
          <w:tcPr>
            <w:tcW w:w="3366" w:type="dxa"/>
            <w:shd w:val="clear" w:color="auto" w:fill="auto"/>
          </w:tcPr>
          <w:p w:rsidR="006D2552" w:rsidRPr="005C2327" w:rsidRDefault="006D2552" w:rsidP="00B220F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2552" w:rsidRPr="005C2327" w:rsidTr="00B220F9">
        <w:trPr>
          <w:trHeight w:val="20"/>
        </w:trPr>
        <w:tc>
          <w:tcPr>
            <w:tcW w:w="154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Souweine et al., 2000,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41</w:t>
            </w:r>
            <w:r w:rsidRPr="005C2327">
              <w:rPr>
                <w:rFonts w:ascii="Arial" w:hAnsi="Arial" w:cs="Arial"/>
                <w:sz w:val="18"/>
                <w:szCs w:val="18"/>
              </w:rPr>
              <w:t xml:space="preserve"> France</w:t>
            </w:r>
          </w:p>
        </w:tc>
        <w:tc>
          <w:tcPr>
            <w:tcW w:w="1539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Screening of ICU Risk Pts Vs </w:t>
            </w:r>
            <w:r w:rsidRPr="005C2327">
              <w:rPr>
                <w:rFonts w:ascii="Arial" w:hAnsi="Arial" w:cs="Arial"/>
                <w:sz w:val="18"/>
                <w:szCs w:val="18"/>
              </w:rPr>
              <w:t>No Screening</w:t>
            </w:r>
          </w:p>
        </w:tc>
        <w:tc>
          <w:tcPr>
            <w:tcW w:w="1250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12 (5.2%)</w:t>
            </w:r>
          </w:p>
        </w:tc>
        <w:tc>
          <w:tcPr>
            <w:tcW w:w="134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6 (1.7%)</w:t>
            </w:r>
          </w:p>
        </w:tc>
        <w:tc>
          <w:tcPr>
            <w:tcW w:w="134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p 0.018</w:t>
            </w:r>
          </w:p>
        </w:tc>
        <w:tc>
          <w:tcPr>
            <w:tcW w:w="1154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5C2327">
              <w:rPr>
                <w:rFonts w:ascii="Arial" w:hAnsi="Arial" w:cs="Arial"/>
                <w:sz w:val="18"/>
                <w:szCs w:val="18"/>
              </w:rPr>
              <w:t>Chi square or Fisher’s exact test</w:t>
            </w:r>
          </w:p>
        </w:tc>
        <w:tc>
          <w:tcPr>
            <w:tcW w:w="3366" w:type="dxa"/>
            <w:shd w:val="clear" w:color="auto" w:fill="auto"/>
          </w:tcPr>
          <w:p w:rsidR="006D2552" w:rsidRPr="005C2327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2552" w:rsidRDefault="006D2552" w:rsidP="006D2552">
      <w:pPr>
        <w:rPr>
          <w:sz w:val="18"/>
          <w:szCs w:val="18"/>
        </w:rPr>
      </w:pPr>
      <w:r>
        <w:rPr>
          <w:sz w:val="18"/>
          <w:szCs w:val="18"/>
        </w:rPr>
        <w:t>C: Control; Diff: Difference; I: Intervention; ICU: Intensive care unit; N</w:t>
      </w:r>
      <w:r w:rsidRPr="00CB67C1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No </w:t>
      </w:r>
    </w:p>
    <w:p w:rsidR="006D2552" w:rsidRDefault="006D2552" w:rsidP="006D2552"/>
    <w:p w:rsidR="006D2552" w:rsidRDefault="006D2552" w:rsidP="006D2552">
      <w:pPr>
        <w:spacing w:after="200" w:line="276" w:lineRule="auto"/>
      </w:pPr>
    </w:p>
    <w:sectPr w:rsidR="006D2552" w:rsidSect="00CA0802">
      <w:footerReference w:type="default" r:id="rId8"/>
      <w:pgSz w:w="15840" w:h="12240" w:orient="landscape"/>
      <w:pgMar w:top="1440" w:right="1440" w:bottom="1440" w:left="1440" w:header="720" w:footer="720" w:gutter="0"/>
      <w:pgNumType w:start="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9F" w:rsidRDefault="003C759F">
      <w:r>
        <w:separator/>
      </w:r>
    </w:p>
  </w:endnote>
  <w:endnote w:type="continuationSeparator" w:id="0">
    <w:p w:rsidR="003C759F" w:rsidRDefault="003C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E50523" w:rsidRDefault="00F33D1F" w:rsidP="00B220F9">
        <w:pPr>
          <w:pStyle w:val="Footer"/>
          <w:jc w:val="center"/>
        </w:pPr>
        <w:r>
          <w:rPr>
            <w:rFonts w:ascii="Times New Roman" w:hAnsi="Times New Roman"/>
          </w:rPr>
          <w:t>F</w:t>
        </w:r>
        <w:r w:rsidR="00E50523">
          <w:rPr>
            <w:rFonts w:ascii="Times New Roman" w:hAnsi="Times New Roman"/>
          </w:rPr>
          <w:t>-</w:t>
        </w:r>
        <w:r w:rsidR="00D104DA" w:rsidRPr="00D104DA">
          <w:rPr>
            <w:rFonts w:ascii="Calibri" w:hAnsi="Calibri"/>
          </w:rPr>
          <w:fldChar w:fldCharType="begin"/>
        </w:r>
        <w:r w:rsidR="00E50523">
          <w:instrText xml:space="preserve"> PAGE   \* MERGEFORMAT </w:instrText>
        </w:r>
        <w:r w:rsidR="00D104DA" w:rsidRPr="00D104DA">
          <w:rPr>
            <w:rFonts w:ascii="Calibri" w:hAnsi="Calibri"/>
          </w:rPr>
          <w:fldChar w:fldCharType="separate"/>
        </w:r>
        <w:r w:rsidR="00566F48" w:rsidRPr="00566F48">
          <w:rPr>
            <w:rFonts w:ascii="Times New Roman" w:hAnsi="Times New Roman"/>
            <w:noProof/>
          </w:rPr>
          <w:t>47</w:t>
        </w:r>
        <w:r w:rsidR="00D104D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9F" w:rsidRDefault="003C759F">
      <w:r>
        <w:separator/>
      </w:r>
    </w:p>
  </w:footnote>
  <w:footnote w:type="continuationSeparator" w:id="0">
    <w:p w:rsidR="003C759F" w:rsidRDefault="003C7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1A16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C759F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6F48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0802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4DA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58B4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03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E6FD-3098-470E-B3DB-62FE58E0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824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2013-07-05T14:56:00Z</dcterms:created>
  <dcterms:modified xsi:type="dcterms:W3CDTF">2013-07-09T12:50:00Z</dcterms:modified>
</cp:coreProperties>
</file>