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</w:t>
      </w:r>
      <w:r>
        <w:rPr>
          <w:rFonts w:ascii="Arial" w:hAnsi="Arial" w:cs="Arial"/>
          <w:noProof/>
        </w:rPr>
        <w:t>12</w:t>
      </w:r>
      <w:r w:rsidRPr="00F705D7">
        <w:rPr>
          <w:rFonts w:ascii="Arial" w:hAnsi="Arial" w:cs="Arial"/>
        </w:rPr>
        <w:t xml:space="preserve">. Health </w:t>
      </w:r>
      <w:r>
        <w:rPr>
          <w:rFonts w:ascii="Arial" w:hAnsi="Arial" w:cs="Arial"/>
        </w:rPr>
        <w:t>c</w:t>
      </w:r>
      <w:r w:rsidRPr="00F705D7">
        <w:rPr>
          <w:rFonts w:ascii="Arial" w:hAnsi="Arial" w:cs="Arial"/>
        </w:rPr>
        <w:t>are-</w:t>
      </w:r>
      <w:r>
        <w:rPr>
          <w:rFonts w:ascii="Arial" w:hAnsi="Arial" w:cs="Arial"/>
        </w:rPr>
        <w:t>a</w:t>
      </w:r>
      <w:r w:rsidRPr="00F705D7">
        <w:rPr>
          <w:rFonts w:ascii="Arial" w:hAnsi="Arial" w:cs="Arial"/>
        </w:rPr>
        <w:t xml:space="preserve">ssociated MRSA </w:t>
      </w:r>
      <w:r>
        <w:rPr>
          <w:rFonts w:ascii="Arial" w:hAnsi="Arial" w:cs="Arial"/>
        </w:rPr>
        <w:t>c</w:t>
      </w:r>
      <w:r w:rsidRPr="00F705D7">
        <w:rPr>
          <w:rFonts w:ascii="Arial" w:hAnsi="Arial" w:cs="Arial"/>
        </w:rPr>
        <w:t xml:space="preserve">olonization or </w:t>
      </w:r>
      <w:r>
        <w:rPr>
          <w:rFonts w:ascii="Arial" w:hAnsi="Arial" w:cs="Arial"/>
        </w:rPr>
        <w:t>i</w:t>
      </w:r>
      <w:r w:rsidRPr="00F705D7">
        <w:rPr>
          <w:rFonts w:ascii="Arial" w:hAnsi="Arial" w:cs="Arial"/>
        </w:rPr>
        <w:t xml:space="preserve">nfection: </w:t>
      </w:r>
      <w:r>
        <w:rPr>
          <w:rFonts w:ascii="Arial" w:hAnsi="Arial" w:cs="Arial"/>
        </w:rPr>
        <w:t>studies that did not use statistical methods to attempt to control for confounding or secular trends</w:t>
      </w:r>
    </w:p>
    <w:tbl>
      <w:tblPr>
        <w:tblW w:w="5000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</w:tblCellMar>
        <w:tblLook w:val="00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6D2552" w:rsidRPr="00ED1796" w:rsidTr="00B220F9">
        <w:trPr>
          <w:trHeight w:val="144"/>
        </w:trPr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Author,</w:t>
            </w:r>
          </w:p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Year,</w:t>
            </w:r>
          </w:p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40" w:type="dxa"/>
          </w:tcPr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MRSA Strategy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Diff (I-C)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Statistical Test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796">
              <w:rPr>
                <w:rFonts w:ascii="Arial" w:hAnsi="Arial" w:cs="Arial"/>
                <w:b/>
                <w:bCs/>
                <w:sz w:val="18"/>
                <w:szCs w:val="18"/>
              </w:rPr>
              <w:t>Multivariate Analysis</w:t>
            </w:r>
          </w:p>
        </w:tc>
      </w:tr>
      <w:tr w:rsidR="006D2552" w:rsidRPr="00ED1796" w:rsidTr="00B220F9">
        <w:trPr>
          <w:trHeight w:val="144"/>
        </w:trPr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de la Cal et al., 2004,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</w:t>
            </w:r>
            <w:r w:rsidRPr="00ED1796">
              <w:rPr>
                <w:rFonts w:ascii="Arial" w:hAnsi="Arial" w:cs="Arial"/>
                <w:sz w:val="18"/>
                <w:szCs w:val="18"/>
              </w:rPr>
              <w:t xml:space="preserve"> Spain</w:t>
            </w:r>
          </w:p>
        </w:tc>
        <w:tc>
          <w:tcPr>
            <w:tcW w:w="1440" w:type="dxa"/>
          </w:tcPr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ICU Risk Pts Vs </w:t>
            </w:r>
            <w:r w:rsidRPr="00E473C0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Intervention 1: 31/100 patients</w:t>
            </w: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14.82/1000 patient-days</w:t>
            </w: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Intervention 2: 31/100 patients</w:t>
            </w: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14.82/1000 patient-days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Intervention 1: 14/100 patients</w:t>
            </w: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7.92/1000 patient days</w:t>
            </w: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Intervention 2: 2/100 patients</w:t>
            </w: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1.30 per 1000 patient days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p&lt;0.01, p&lt;0.006</w:t>
            </w: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 xml:space="preserve">p&lt;0.001, </w:t>
            </w: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p&lt;0.001</w:t>
            </w:r>
          </w:p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Chi square, Fisher exact test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ED1796" w:rsidTr="00B220F9">
        <w:tblPrEx>
          <w:tblLook w:val="04A0"/>
        </w:tblPrEx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Salaripour et al., 2006,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36</w:t>
            </w:r>
            <w:r w:rsidRPr="00ED1796">
              <w:rPr>
                <w:rFonts w:ascii="Arial" w:hAnsi="Arial" w:cs="Arial"/>
                <w:sz w:val="18"/>
                <w:szCs w:val="18"/>
              </w:rPr>
              <w:t xml:space="preserve"> Canada</w:t>
            </w:r>
          </w:p>
        </w:tc>
        <w:tc>
          <w:tcPr>
            <w:tcW w:w="1440" w:type="dxa"/>
          </w:tcPr>
          <w:p w:rsidR="006D2552" w:rsidRPr="00ED1796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High Risk Pts Vs </w:t>
            </w:r>
            <w:r w:rsidRPr="00E473C0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0.61 per 1000 patient days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0.43 per 1000 patient days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Rates each year from 2001-2005 were significantly lower than the target (p&lt;0.01) and significantly lower than the internal benchmark rate of 0.61 in 2000 (p&lt;0.001).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6D2552" w:rsidRPr="00ED1796" w:rsidTr="00B220F9">
        <w:tblPrEx>
          <w:tblBorders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Eveillard et al., 2006,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24</w:t>
            </w:r>
            <w:r w:rsidRPr="00ED1796">
              <w:rPr>
                <w:rFonts w:ascii="Arial" w:hAnsi="Arial" w:cs="Arial"/>
                <w:sz w:val="18"/>
                <w:szCs w:val="18"/>
              </w:rPr>
              <w:t xml:space="preserve"> France</w:t>
            </w:r>
          </w:p>
        </w:tc>
        <w:tc>
          <w:tcPr>
            <w:tcW w:w="1440" w:type="dxa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Vs </w:t>
            </w: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Limited </w:t>
            </w:r>
            <w:r>
              <w:rPr>
                <w:rFonts w:ascii="Arial" w:eastAsia="Calibri" w:hAnsi="Arial" w:cs="Arial"/>
                <w:sz w:val="18"/>
                <w:szCs w:val="18"/>
              </w:rPr>
              <w:t>Screening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1.13 per 1000 patient days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0.14 per 1000 patient days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RR= 8.1 (95% CI 1.06-64.5) p&lt;0.02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Chi square or Fisher's exact test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6D2552" w:rsidRPr="00ED1796" w:rsidTr="00B220F9">
        <w:tblPrEx>
          <w:tblBorders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Thompson et al., 2009,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44</w:t>
            </w:r>
            <w:r w:rsidRPr="00ED1796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440" w:type="dxa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Vs </w:t>
            </w: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Limited </w:t>
            </w:r>
            <w:r>
              <w:rPr>
                <w:rFonts w:ascii="Arial" w:eastAsia="Calibri" w:hAnsi="Arial" w:cs="Arial"/>
                <w:sz w:val="18"/>
                <w:szCs w:val="18"/>
              </w:rPr>
              <w:t>Screening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19.6 Per 1000 bed-days (95% CI 16.5-22.7)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11.8 per 1000 bed-days (95% CI 7.3-16.3)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Rates of acquisition of MRSA from the fifth day in ICU in those initially negative comparing intervention to control chi-square p=.016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Chi-square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6D2552" w:rsidRPr="00ED1796" w:rsidTr="00B220F9">
        <w:tblPrEx>
          <w:tblBorders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lastRenderedPageBreak/>
              <w:t>Trautmann et al., 2007,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45</w:t>
            </w:r>
            <w:r w:rsidRPr="00ED1796">
              <w:rPr>
                <w:rFonts w:ascii="Arial" w:hAnsi="Arial" w:cs="Arial"/>
                <w:sz w:val="18"/>
                <w:szCs w:val="18"/>
              </w:rPr>
              <w:t xml:space="preserve"> Germany</w:t>
            </w:r>
          </w:p>
        </w:tc>
        <w:tc>
          <w:tcPr>
            <w:tcW w:w="1440" w:type="dxa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Vs </w:t>
            </w: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Limited </w:t>
            </w:r>
            <w:r>
              <w:rPr>
                <w:rFonts w:ascii="Arial" w:eastAsia="Calibri" w:hAnsi="Arial" w:cs="Arial"/>
                <w:sz w:val="18"/>
                <w:szCs w:val="18"/>
              </w:rPr>
              <w:t>Screening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MICU (incidence density per 1000 patient days)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12.2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MICU (incidence density per 1000 patient days)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5.8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SICU (incidence density Per 1000 patient days)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8.3 (2005)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7.5 (2006)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MICU (incidence density Per 1000 patient days)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3.3 (2005)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1.7 (2006)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P&lt;0.05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P&lt;0.05</w:t>
            </w:r>
          </w:p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Chi-square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2552" w:rsidRPr="00ED1796" w:rsidTr="00B220F9">
        <w:tblPrEx>
          <w:tblBorders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Girou et al., 2000,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25</w:t>
            </w:r>
            <w:r w:rsidRPr="00ED1796">
              <w:rPr>
                <w:rFonts w:ascii="Arial" w:hAnsi="Arial" w:cs="Arial"/>
                <w:sz w:val="18"/>
                <w:szCs w:val="18"/>
              </w:rPr>
              <w:t xml:space="preserve"> France</w:t>
            </w:r>
          </w:p>
        </w:tc>
        <w:tc>
          <w:tcPr>
            <w:tcW w:w="1440" w:type="dxa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Vs </w:t>
            </w: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Limited </w:t>
            </w:r>
            <w:r>
              <w:rPr>
                <w:rFonts w:ascii="Arial" w:eastAsia="Calibri" w:hAnsi="Arial" w:cs="Arial"/>
                <w:sz w:val="18"/>
                <w:szCs w:val="18"/>
              </w:rPr>
              <w:t>Screening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2.9%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2.4%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P=0.68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Chi-square, Fisher’s exact test or ANOVA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2552" w:rsidRPr="00ED1796" w:rsidTr="00B220F9">
        <w:tblPrEx>
          <w:tblBorders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796">
              <w:rPr>
                <w:rFonts w:ascii="Arial" w:hAnsi="Arial" w:cs="Arial"/>
                <w:sz w:val="18"/>
                <w:szCs w:val="18"/>
              </w:rPr>
              <w:t>Schelenz et al., 2005,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38</w:t>
            </w:r>
            <w:r w:rsidRPr="00ED1796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440" w:type="dxa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Vs </w:t>
            </w:r>
            <w:r w:rsidRPr="00E473C0">
              <w:rPr>
                <w:rFonts w:ascii="Arial" w:eastAsia="Calibri" w:hAnsi="Arial" w:cs="Arial"/>
                <w:sz w:val="18"/>
                <w:szCs w:val="18"/>
              </w:rPr>
              <w:t xml:space="preserve">Limited </w:t>
            </w:r>
            <w:r>
              <w:rPr>
                <w:rFonts w:ascii="Arial" w:eastAsia="Calibri" w:hAnsi="Arial" w:cs="Arial"/>
                <w:sz w:val="18"/>
                <w:szCs w:val="18"/>
              </w:rPr>
              <w:t>Screening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4.0%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1.5%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RR=2.41 (95% CI: 1.32-4.42) p=0.003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1796">
              <w:rPr>
                <w:rFonts w:ascii="Arial" w:eastAsia="Calibri" w:hAnsi="Arial" w:cs="Arial"/>
                <w:sz w:val="18"/>
                <w:szCs w:val="18"/>
              </w:rPr>
              <w:t>Relative risk, chi square</w:t>
            </w:r>
          </w:p>
        </w:tc>
        <w:tc>
          <w:tcPr>
            <w:tcW w:w="1440" w:type="dxa"/>
            <w:shd w:val="clear" w:color="auto" w:fill="auto"/>
          </w:tcPr>
          <w:p w:rsidR="006D2552" w:rsidRPr="00ED1796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D2552" w:rsidRDefault="006D2552" w:rsidP="006D2552">
      <w:pPr>
        <w:rPr>
          <w:sz w:val="18"/>
          <w:szCs w:val="18"/>
        </w:rPr>
      </w:pPr>
      <w:r>
        <w:rPr>
          <w:sz w:val="18"/>
          <w:szCs w:val="18"/>
        </w:rPr>
        <w:t xml:space="preserve">C: Control; CI: Confidence interval; Diff: Difference; I: Intervention; ICU: Intensive care unit; MICU: Medical care intensive unit; </w:t>
      </w:r>
      <w:r w:rsidRPr="001C161C">
        <w:rPr>
          <w:sz w:val="18"/>
          <w:szCs w:val="18"/>
        </w:rPr>
        <w:t xml:space="preserve">MRSA: Methicillin-resistant </w:t>
      </w:r>
      <w:r w:rsidRPr="001C161C">
        <w:rPr>
          <w:i/>
          <w:sz w:val="18"/>
          <w:szCs w:val="18"/>
        </w:rPr>
        <w:t>Staphylococcus aureu</w:t>
      </w:r>
      <w:r>
        <w:rPr>
          <w:i/>
          <w:sz w:val="18"/>
          <w:szCs w:val="18"/>
        </w:rPr>
        <w:t xml:space="preserve">s; </w:t>
      </w:r>
      <w:r>
        <w:rPr>
          <w:sz w:val="18"/>
          <w:szCs w:val="18"/>
        </w:rPr>
        <w:t>N</w:t>
      </w:r>
      <w:r w:rsidRPr="00CB67C1">
        <w:rPr>
          <w:sz w:val="18"/>
          <w:szCs w:val="18"/>
        </w:rPr>
        <w:t xml:space="preserve">: </w:t>
      </w:r>
      <w:r>
        <w:rPr>
          <w:sz w:val="18"/>
          <w:szCs w:val="18"/>
        </w:rPr>
        <w:t>No; RR: Relative risk; SICU: Surgical care intensive unit</w:t>
      </w:r>
    </w:p>
    <w:p w:rsidR="006D2552" w:rsidRDefault="006D2552" w:rsidP="006D2552">
      <w:pPr>
        <w:pStyle w:val="TableTitle"/>
      </w:pPr>
    </w:p>
    <w:p w:rsidR="006D2552" w:rsidRDefault="006D2552" w:rsidP="006D2552">
      <w:pPr>
        <w:pStyle w:val="TableTitle"/>
      </w:pPr>
    </w:p>
    <w:p w:rsidR="006D2552" w:rsidRPr="000B6A38" w:rsidRDefault="006D2552" w:rsidP="006D2552"/>
    <w:p w:rsidR="006D2552" w:rsidRDefault="006D2552" w:rsidP="006D2552">
      <w:pPr>
        <w:spacing w:after="200" w:line="276" w:lineRule="auto"/>
        <w:rPr>
          <w:sz w:val="18"/>
          <w:szCs w:val="18"/>
        </w:rPr>
      </w:pPr>
    </w:p>
    <w:sectPr w:rsidR="006D2552" w:rsidSect="00EC3808">
      <w:footerReference w:type="default" r:id="rId8"/>
      <w:pgSz w:w="15840" w:h="12240" w:orient="landscape"/>
      <w:pgMar w:top="1440" w:right="1440" w:bottom="1440" w:left="1440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EA" w:rsidRDefault="00262AEA">
      <w:r>
        <w:separator/>
      </w:r>
    </w:p>
  </w:endnote>
  <w:endnote w:type="continuationSeparator" w:id="0">
    <w:p w:rsidR="00262AEA" w:rsidRDefault="0026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711D5C" w:rsidRPr="00711D5C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711D5C" w:rsidRPr="00711D5C">
          <w:rPr>
            <w:rFonts w:ascii="Calibri" w:hAnsi="Calibri"/>
          </w:rPr>
          <w:fldChar w:fldCharType="separate"/>
        </w:r>
        <w:r w:rsidR="00714BBB" w:rsidRPr="00714BBB">
          <w:rPr>
            <w:rFonts w:ascii="Times New Roman" w:hAnsi="Times New Roman"/>
            <w:noProof/>
          </w:rPr>
          <w:t>46</w:t>
        </w:r>
        <w:r w:rsidR="00711D5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EA" w:rsidRDefault="00262AEA">
      <w:r>
        <w:separator/>
      </w:r>
    </w:p>
  </w:footnote>
  <w:footnote w:type="continuationSeparator" w:id="0">
    <w:p w:rsidR="00262AEA" w:rsidRDefault="00262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2AEA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1A5C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2AB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1D5C"/>
    <w:rsid w:val="00712AD8"/>
    <w:rsid w:val="00712CAE"/>
    <w:rsid w:val="00713C32"/>
    <w:rsid w:val="00714BBB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424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3808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0810-7F52-4ECA-8648-6839F0D5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2281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2013-07-05T14:55:00Z</dcterms:created>
  <dcterms:modified xsi:type="dcterms:W3CDTF">2013-07-09T12:47:00Z</dcterms:modified>
</cp:coreProperties>
</file>