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4" w:rsidRDefault="00F13B54" w:rsidP="00F13B54">
      <w:pPr>
        <w:pStyle w:val="TableTitle"/>
      </w:pPr>
      <w:r>
        <w:t xml:space="preserve">Evidence Table 2. Populations 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Popova</w:t>
            </w:r>
            <w:r>
              <w:t xml:space="preserve"> et al.,</w:t>
            </w:r>
            <w:r w:rsidRPr="002A5B38">
              <w:t xml:space="preserve"> 2010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Overall:</w:t>
            </w:r>
          </w:p>
          <w:p w:rsidR="00F13B54" w:rsidRPr="002A5B38" w:rsidRDefault="00F13B54" w:rsidP="00A26C1C">
            <w:pPr>
              <w:pStyle w:val="TableText"/>
            </w:pPr>
            <w:r>
              <w:t xml:space="preserve">G1: 60 </w:t>
            </w:r>
            <w:r w:rsidRPr="002A5B38">
              <w:t>mo</w:t>
            </w:r>
            <w:r>
              <w:t>nths</w:t>
            </w:r>
          </w:p>
          <w:p w:rsidR="00F13B54" w:rsidRDefault="00F13B54" w:rsidP="00A26C1C">
            <w:pPr>
              <w:pStyle w:val="TableText"/>
            </w:pPr>
            <w:r>
              <w:t xml:space="preserve">G2: 61 </w:t>
            </w:r>
            <w:r w:rsidRPr="002A5B38">
              <w:t>mo</w:t>
            </w:r>
            <w:r>
              <w:t>nths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 w:rsidRPr="002A5B38">
              <w:t>Tympanometry (interacoustics AT-235h) - Type B tympanograms with fulid level on otoscopy. Pneumatic otoscopy by validated otoscopist.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2007-2009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D</w:t>
            </w:r>
            <w:r w:rsidRPr="002A5B38">
              <w:t>ocumented bilateral middle effusion for &gt;3 mo</w:t>
            </w:r>
            <w:r>
              <w:t>nths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20 db conductive hearing loss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revious myringotomy (+/- TT)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 xml:space="preserve">revious adenoidectomy or tonsillectomy 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H</w:t>
            </w:r>
            <w:r w:rsidRPr="002A5B38">
              <w:t>x of ear surgery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left palate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Down's syndrome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ongenital malformation of ear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holesteatoma or chronic mastoiditis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erforation of TM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onductive hearing loss due to destructive changes in ME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S</w:t>
            </w:r>
            <w:r w:rsidRPr="002A5B38">
              <w:t>ensoneural hearing loss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(500-4000 Hz)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 xml:space="preserve">Overall: 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31.4 dB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G2: 32.3 dB</w:t>
            </w:r>
          </w:p>
          <w:p w:rsidR="00F13B54" w:rsidRDefault="00F13B54" w:rsidP="00A26C1C">
            <w:pPr>
              <w:pStyle w:val="TableText"/>
            </w:pPr>
            <w:r w:rsidRPr="002A5B38">
              <w:t>ns p=0.39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Overall:</w:t>
            </w:r>
          </w:p>
          <w:p w:rsidR="00F13B54" w:rsidRPr="002A5B38" w:rsidRDefault="00F13B54" w:rsidP="00A26C1C">
            <w:pPr>
              <w:pStyle w:val="TableText"/>
            </w:pPr>
            <w:r>
              <w:t>G1: 45</w:t>
            </w:r>
          </w:p>
          <w:p w:rsidR="00F13B54" w:rsidRDefault="00F13B54" w:rsidP="00A26C1C">
            <w:pPr>
              <w:pStyle w:val="TableText"/>
            </w:pPr>
            <w:r>
              <w:t>G2: 44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 w:rsidRPr="002A5B38">
              <w:t>Yes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>
              <w:t xml:space="preserve">Williamson et al., </w:t>
            </w:r>
            <w:r w:rsidRPr="002A5B38">
              <w:t>2009</w:t>
            </w:r>
            <w:r>
              <w:t>;</w:t>
            </w:r>
            <w:r w:rsidRPr="0085173E">
              <w:rPr>
                <w:rFonts w:ascii="Times New Roman" w:hAnsi="Times New Roman" w:cs="Times New Roman"/>
                <w:noProof/>
                <w:vertAlign w:val="superscript"/>
              </w:rPr>
              <w:t>20</w:t>
            </w:r>
            <w:r w:rsidRPr="002A5B38">
              <w:t xml:space="preserve"> </w:t>
            </w:r>
          </w:p>
          <w:p w:rsidR="00F13B54" w:rsidRDefault="00F13B54" w:rsidP="00A26C1C">
            <w:pPr>
              <w:pStyle w:val="TableText"/>
            </w:pPr>
            <w:r w:rsidRPr="002A5B38">
              <w:t>Williamson</w:t>
            </w:r>
            <w:r>
              <w:t xml:space="preserve"> et al.,</w:t>
            </w:r>
            <w:r w:rsidRPr="002A5B38">
              <w:t xml:space="preserve"> 2009</w:t>
            </w:r>
            <w:r w:rsidRPr="0085173E">
              <w:rPr>
                <w:rFonts w:ascii="Times New Roman" w:hAnsi="Times New Roman" w:cs="Times New Roman"/>
                <w:noProof/>
                <w:vertAlign w:val="superscript"/>
              </w:rPr>
              <w:t>21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>
              <w:t xml:space="preserve">Range: </w:t>
            </w:r>
            <w:r w:rsidRPr="002A5B38">
              <w:t>4-11 yrs old</w:t>
            </w:r>
          </w:p>
          <w:p w:rsidR="00F13B54" w:rsidRDefault="00F13B54" w:rsidP="00A26C1C">
            <w:pPr>
              <w:pStyle w:val="TableText"/>
            </w:pPr>
            <w:r>
              <w:t>Mean months (SD), (range)</w:t>
            </w:r>
          </w:p>
          <w:p w:rsidR="00F13B54" w:rsidRDefault="00F13B54" w:rsidP="00A26C1C">
            <w:pPr>
              <w:pStyle w:val="TableText"/>
            </w:pPr>
            <w:r w:rsidRPr="002A5B38">
              <w:t>G1: 73.3</w:t>
            </w:r>
            <w:r>
              <w:t xml:space="preserve"> (20.2)</w:t>
            </w:r>
            <w:r w:rsidRPr="002A5B38">
              <w:t xml:space="preserve"> </w:t>
            </w:r>
            <w:r>
              <w:t>(</w:t>
            </w:r>
            <w:r w:rsidRPr="00E42A4A">
              <w:t>49-129)</w:t>
            </w:r>
          </w:p>
          <w:p w:rsidR="00F13B54" w:rsidRDefault="00F13B54" w:rsidP="00A26C1C">
            <w:pPr>
              <w:pStyle w:val="TableText"/>
            </w:pPr>
            <w:r>
              <w:t>G2: 72.1 (18.6)</w:t>
            </w:r>
            <w:r w:rsidRPr="00E42A4A">
              <w:t xml:space="preserve"> </w:t>
            </w:r>
            <w:r>
              <w:t>(</w:t>
            </w:r>
            <w:r w:rsidRPr="00E42A4A">
              <w:t>48-125</w:t>
            </w:r>
            <w:r>
              <w:t>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Pr="00E42A4A" w:rsidRDefault="00F13B54" w:rsidP="00A26C1C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E42A4A">
              <w:rPr>
                <w:rFonts w:cs="Arial"/>
                <w:szCs w:val="18"/>
              </w:rPr>
              <w:t>Tympanometry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E42A4A" w:rsidRDefault="00F13B54" w:rsidP="00F13B54">
            <w:pPr>
              <w:pStyle w:val="TableBullet"/>
              <w:numPr>
                <w:ilvl w:val="0"/>
                <w:numId w:val="19"/>
              </w:numPr>
              <w:rPr>
                <w:rFonts w:eastAsia="Calibri" w:cs="Arial"/>
                <w:noProof w:val="0"/>
              </w:rPr>
            </w:pPr>
            <w:r w:rsidRPr="00E42A4A">
              <w:rPr>
                <w:rFonts w:eastAsia="Calibri" w:cs="Arial"/>
                <w:noProof w:val="0"/>
              </w:rPr>
              <w:t>Dx of bilateral OME  by a nurse</w:t>
            </w:r>
          </w:p>
          <w:p w:rsidR="00F13B54" w:rsidRPr="00E42A4A" w:rsidRDefault="00F13B54" w:rsidP="00F13B54">
            <w:pPr>
              <w:pStyle w:val="TableBullet"/>
              <w:numPr>
                <w:ilvl w:val="0"/>
                <w:numId w:val="19"/>
              </w:numPr>
              <w:rPr>
                <w:rFonts w:eastAsia="Calibri" w:cs="Arial"/>
                <w:noProof w:val="0"/>
              </w:rPr>
            </w:pPr>
            <w:r w:rsidRPr="00E42A4A">
              <w:rPr>
                <w:rFonts w:eastAsia="Calibri" w:cs="Arial"/>
                <w:noProof w:val="0"/>
              </w:rPr>
              <w:t xml:space="preserve">In the first yr of study children positive screening entered a 3 month period of watchful waiting. </w:t>
            </w:r>
          </w:p>
          <w:p w:rsidR="00F13B54" w:rsidRPr="00E42A4A" w:rsidRDefault="00F13B54" w:rsidP="00F13B54">
            <w:pPr>
              <w:pStyle w:val="TableBullet"/>
              <w:numPr>
                <w:ilvl w:val="0"/>
                <w:numId w:val="19"/>
              </w:numPr>
              <w:rPr>
                <w:rFonts w:eastAsia="Calibri" w:cs="Arial"/>
                <w:noProof w:val="0"/>
              </w:rPr>
            </w:pPr>
            <w:r w:rsidRPr="00E42A4A">
              <w:rPr>
                <w:rFonts w:eastAsia="Calibri" w:cs="Arial"/>
                <w:noProof w:val="0"/>
              </w:rPr>
              <w:t>In yr 2 the protocol was changed and children with histories of bilateral tympanic failure were allowed to be randomized at the first failed screen (50:50).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Tympanometry screen passed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L</w:t>
            </w:r>
            <w:r w:rsidRPr="002A5B38">
              <w:t>arge amounts of wax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U</w:t>
            </w:r>
            <w:r w:rsidRPr="002A5B38">
              <w:t>ninterpretable tympanogram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hildren with cleft palate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Down syndrome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rimary ciliary dyskinesia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Karteagner's syndrom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I</w:t>
            </w:r>
            <w:r w:rsidRPr="002A5B38">
              <w:t>mmuniodeficiency states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TTs or tympanic perforation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F</w:t>
            </w:r>
            <w:r w:rsidRPr="002A5B38">
              <w:t>requent or heavy epistaxis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H</w:t>
            </w:r>
            <w:r w:rsidRPr="002A5B38">
              <w:t>ypersensitivity to mometasone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Hx</w:t>
            </w:r>
            <w:r w:rsidRPr="002A5B38">
              <w:t xml:space="preserve"> of steriod use in previous 3 months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hildren under 4 yrs</w:t>
            </w:r>
          </w:p>
        </w:tc>
        <w:tc>
          <w:tcPr>
            <w:tcW w:w="4230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Type C2 (middle ear pressure −200 to −399) n=54</w:t>
            </w:r>
          </w:p>
          <w:p w:rsidR="00F13B54" w:rsidRDefault="00F13B54" w:rsidP="00A26C1C">
            <w:pPr>
              <w:pStyle w:val="TableText"/>
            </w:pPr>
            <w:r>
              <w:t>Type B  (middle ear pressure ≤−400) n=88</w:t>
            </w:r>
          </w:p>
          <w:p w:rsidR="00F13B54" w:rsidRDefault="00F13B54" w:rsidP="00A26C1C">
            <w:pPr>
              <w:pStyle w:val="TableText"/>
            </w:pPr>
          </w:p>
          <w:p w:rsidR="00F13B54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Default="00F13B54" w:rsidP="00A26C1C">
            <w:pPr>
              <w:pStyle w:val="TableText"/>
            </w:pPr>
            <w:r>
              <w:t>Scale: S</w:t>
            </w:r>
            <w:r w:rsidRPr="002A5B38">
              <w:t>weep audiometry at 25 dB  (pas</w:t>
            </w:r>
            <w:r>
              <w:t>s</w:t>
            </w:r>
            <w:r w:rsidRPr="002A5B38">
              <w:t xml:space="preserve">/fail) 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All enrolled chi</w:t>
            </w:r>
            <w:r>
              <w:t>ldren failed audiometric screen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Pr="002A5B38" w:rsidRDefault="00F13B54" w:rsidP="00A26C1C">
            <w:pPr>
              <w:pStyle w:val="TableText"/>
            </w:pPr>
            <w:r>
              <w:t>History, No</w:t>
            </w:r>
            <w:r w:rsidRPr="002A5B38">
              <w:t xml:space="preserve">. (%) </w:t>
            </w:r>
          </w:p>
          <w:p w:rsidR="00F13B54" w:rsidRPr="002A5B38" w:rsidRDefault="00F13B54" w:rsidP="00A26C1C">
            <w:pPr>
              <w:pStyle w:val="TableText"/>
            </w:pPr>
            <w:r>
              <w:t>Adenoidectomy: 51 (24.5</w:t>
            </w:r>
            <w:r w:rsidRPr="002A5B38">
              <w:t>)</w:t>
            </w:r>
          </w:p>
          <w:p w:rsidR="00F13B54" w:rsidRPr="002A5B38" w:rsidRDefault="00F13B54" w:rsidP="00A26C1C">
            <w:pPr>
              <w:pStyle w:val="TableText"/>
            </w:pPr>
            <w:r>
              <w:t>Tonsillectomy: 23 (11.1</w:t>
            </w:r>
            <w:r w:rsidRPr="002A5B38">
              <w:t>)</w:t>
            </w:r>
          </w:p>
          <w:p w:rsidR="00F13B54" w:rsidRPr="002A5B38" w:rsidRDefault="00F13B54" w:rsidP="00A26C1C">
            <w:pPr>
              <w:pStyle w:val="TableText"/>
            </w:pPr>
            <w:r>
              <w:t>Cleft palate: 17 (8.2</w:t>
            </w:r>
            <w:r w:rsidRPr="002A5B38">
              <w:t>)</w:t>
            </w:r>
          </w:p>
          <w:p w:rsidR="00F13B54" w:rsidRPr="002A5B38" w:rsidRDefault="00F13B54" w:rsidP="00A26C1C">
            <w:pPr>
              <w:pStyle w:val="TableText"/>
            </w:pPr>
            <w:r>
              <w:t>G</w:t>
            </w:r>
            <w:r w:rsidRPr="002A5B38">
              <w:t>rommets 49 (23</w:t>
            </w:r>
            <w:r>
              <w:t>.6</w:t>
            </w:r>
            <w:r w:rsidRPr="002A5B38">
              <w:t>)</w:t>
            </w:r>
          </w:p>
          <w:p w:rsidR="00F13B54" w:rsidRDefault="00F13B54" w:rsidP="00A26C1C">
            <w:pPr>
              <w:pStyle w:val="TableText"/>
            </w:pPr>
            <w:r>
              <w:t>Allergies: 7 (3.4</w:t>
            </w:r>
            <w:r w:rsidRPr="002A5B38">
              <w:t>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Pr="002A5B38" w:rsidRDefault="00F13B54" w:rsidP="00A26C1C">
            <w:pPr>
              <w:pStyle w:val="TableText"/>
            </w:pPr>
            <w:r>
              <w:t>G1: 48</w:t>
            </w:r>
          </w:p>
          <w:p w:rsidR="00F13B54" w:rsidRDefault="00F13B54" w:rsidP="00A26C1C">
            <w:pPr>
              <w:pStyle w:val="TableText"/>
            </w:pPr>
            <w:r>
              <w:t>G2: 68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Default="00F13B54" w:rsidP="00A26C1C">
            <w:pPr>
              <w:pStyle w:val="TableText"/>
            </w:pPr>
            <w:r>
              <w:t>G1: 3</w:t>
            </w:r>
          </w:p>
          <w:p w:rsidR="00F13B54" w:rsidRPr="003520A7" w:rsidRDefault="00F13B54" w:rsidP="00A26C1C">
            <w:pPr>
              <w:pStyle w:val="TableText"/>
            </w:pPr>
            <w:r>
              <w:t>G2: 4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 w:rsidRPr="002A5B38">
              <w:t>NHS England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>
              <w:t>Yes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Licameli</w:t>
            </w:r>
            <w:r>
              <w:t xml:space="preserve"> et al.,</w:t>
            </w:r>
            <w:r w:rsidRPr="002A5B38">
              <w:t xml:space="preserve"> 2008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4A21C5">
              <w:t>Age</w:t>
            </w:r>
          </w:p>
          <w:p w:rsidR="00F13B54" w:rsidRPr="004A21C5" w:rsidRDefault="00F13B54" w:rsidP="00A26C1C">
            <w:pPr>
              <w:pStyle w:val="TableText"/>
            </w:pPr>
            <w:r>
              <w:t>Mean months, (range)</w:t>
            </w:r>
          </w:p>
          <w:p w:rsidR="00F13B54" w:rsidRDefault="00F13B54" w:rsidP="00A26C1C">
            <w:pPr>
              <w:pStyle w:val="TableText"/>
            </w:pPr>
            <w:r>
              <w:t xml:space="preserve">Overall: 19 (8-51 </w:t>
            </w:r>
            <w:r w:rsidRPr="002A5B38">
              <w:t>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Not specified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3-4 mo</w:t>
            </w:r>
            <w:r>
              <w:t>nths of medical management for OME prior to randomization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reviou</w:t>
            </w:r>
            <w:r>
              <w:t>s TT</w:t>
            </w:r>
          </w:p>
          <w:p w:rsidR="00F13B54" w:rsidRPr="003520A7" w:rsidRDefault="00F13B54" w:rsidP="00A26C1C">
            <w:pPr>
              <w:pStyle w:val="TableBullet"/>
              <w:numPr>
                <w:ilvl w:val="0"/>
                <w:numId w:val="0"/>
              </w:numPr>
              <w:ind w:left="255"/>
            </w:pP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 w:rsidRPr="002A5B38">
              <w:t>Overall: 35.7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>
              <w:t>Y</w:t>
            </w:r>
            <w:r w:rsidRPr="002A5B38">
              <w:t>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Ragab, 2005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4.8 yr</w:t>
            </w:r>
          </w:p>
          <w:p w:rsidR="00F13B54" w:rsidRDefault="00F13B54" w:rsidP="00A26C1C">
            <w:pPr>
              <w:pStyle w:val="TableText"/>
            </w:pPr>
            <w:r w:rsidRPr="002A5B38">
              <w:t>G2: 5.2 yr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Hx</w:t>
            </w:r>
            <w:r w:rsidRPr="002A5B38">
              <w:t>, pneumo-otoscopic exam, and tympanograms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Nov 2002-Jan 2004 patien</w:t>
            </w:r>
            <w:r>
              <w:t xml:space="preserve">ts </w:t>
            </w:r>
            <w:r w:rsidRPr="002A5B38">
              <w:t>undergoing surgery for OME</w:t>
            </w:r>
          </w:p>
          <w:p w:rsidR="00F13B54" w:rsidRDefault="00F13B54" w:rsidP="00A26C1C">
            <w:pPr>
              <w:pStyle w:val="TableBullet"/>
              <w:numPr>
                <w:ilvl w:val="0"/>
                <w:numId w:val="0"/>
              </w:numPr>
              <w:ind w:left="255"/>
            </w:pP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NR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 xml:space="preserve">Air Bone Gap:  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24.7 dB</w:t>
            </w:r>
          </w:p>
          <w:p w:rsidR="00F13B54" w:rsidRDefault="00F13B54" w:rsidP="00A26C1C">
            <w:pPr>
              <w:pStyle w:val="TableText"/>
            </w:pPr>
            <w:r w:rsidRPr="002A5B38">
              <w:t>G2: 24.1 dB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>
              <w:t>Y</w:t>
            </w:r>
            <w:r w:rsidRPr="002A5B38">
              <w:t>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Koopman</w:t>
            </w:r>
            <w:r>
              <w:t xml:space="preserve"> et al.,</w:t>
            </w:r>
            <w:r w:rsidRPr="002A5B38">
              <w:t xml:space="preserve"> 2004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 w:rsidRPr="002A5B38">
              <w:t xml:space="preserve">Children aged </w:t>
            </w:r>
            <w:r>
              <w:rPr>
                <w:rFonts w:ascii="Calibri" w:hAnsi="Calibri"/>
              </w:rPr>
              <w:t xml:space="preserve">&lt; </w:t>
            </w:r>
            <w:r>
              <w:t>11 y</w:t>
            </w:r>
            <w:r w:rsidRPr="002A5B38">
              <w:t>rs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 w:rsidRPr="002A5B38">
              <w:t>Binocular otoscopy in combination</w:t>
            </w:r>
            <w:r>
              <w:t xml:space="preserve"> with T</w:t>
            </w:r>
            <w:r w:rsidRPr="002A5B38">
              <w:t>ype B tympanogram or pure tone audiometry used for di</w:t>
            </w:r>
            <w:r>
              <w:t>agnosis. Bilateral tympanogram Type C1 or C2</w:t>
            </w:r>
            <w:r w:rsidRPr="002A5B38">
              <w:t xml:space="preserve"> (Jerger) </w:t>
            </w:r>
            <w:r w:rsidRPr="00D06D1E">
              <w:t>considered</w:t>
            </w:r>
            <w:r w:rsidRPr="002A5B38">
              <w:t xml:space="preserve"> to support diagnosis of OME. If child was too young </w:t>
            </w:r>
            <w:r>
              <w:t>or failed at audiometric testing</w:t>
            </w:r>
            <w:r w:rsidRPr="002A5B38">
              <w:t xml:space="preserve">, diagnosis based </w:t>
            </w:r>
            <w:r>
              <w:t>solely on otoscopic findings and hx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Children aged less than 11 years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Impaired hearing noticed by parents during at least 3 successive months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B</w:t>
            </w:r>
            <w:r w:rsidRPr="002A5B38">
              <w:t>ilateral OME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U</w:t>
            </w:r>
            <w:r w:rsidRPr="002A5B38">
              <w:t>nilateral OME</w:t>
            </w:r>
            <w:r>
              <w:t xml:space="preserve"> 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E</w:t>
            </w:r>
            <w:r w:rsidRPr="002A5B38">
              <w:t xml:space="preserve">ar effusions without fever, otalgia, or </w:t>
            </w:r>
            <w:r>
              <w:t xml:space="preserve"> </w:t>
            </w:r>
            <w:r w:rsidRPr="002A5B38">
              <w:t>otorrhea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oorly cooperative children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linically admitted patients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A</w:t>
            </w:r>
            <w:r w:rsidRPr="002A5B38">
              <w:t>symmetric perceptive hearing loss (HL)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reviously operated ears with other than myringotomy or ventialation tubes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Type B: 362 ears (172 bilaterally)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C1: 5 ears</w:t>
            </w:r>
          </w:p>
          <w:p w:rsidR="00F13B54" w:rsidRDefault="00F13B54" w:rsidP="00A26C1C">
            <w:pPr>
              <w:pStyle w:val="TableText"/>
            </w:pPr>
            <w:r>
              <w:t>C2: 18 (3 bilateral</w:t>
            </w:r>
            <w:r w:rsidRPr="002A5B38">
              <w:t>) ears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Mean duration of hearing loss (months [range])</w:t>
            </w:r>
          </w:p>
          <w:p w:rsidR="00F13B54" w:rsidRDefault="00F13B54" w:rsidP="00A26C1C">
            <w:pPr>
              <w:pStyle w:val="TableText"/>
            </w:pPr>
            <w:r>
              <w:t xml:space="preserve">Overall: 6 [3-12] </w:t>
            </w:r>
          </w:p>
          <w:p w:rsidR="00F13B54" w:rsidRDefault="00F13B54" w:rsidP="00A26C1C">
            <w:pPr>
              <w:pStyle w:val="TableText"/>
            </w:pPr>
            <w:r>
              <w:t>PTAs NR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 xml:space="preserve"># of children referred for TT because of hearing loss </w:t>
            </w: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Default="00F13B54" w:rsidP="00A26C1C">
            <w:pPr>
              <w:pStyle w:val="TableText"/>
            </w:pPr>
            <w:r>
              <w:t>Other Baseline Symptoms</w:t>
            </w:r>
          </w:p>
          <w:p w:rsidR="00F13B54" w:rsidRPr="00C16119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 xml:space="preserve">No. (%) 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 xml:space="preserve">History of: 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Adenoidecto</w:t>
            </w:r>
            <w:r>
              <w:t>my: 51 (24.5</w:t>
            </w:r>
            <w:r w:rsidRPr="002A5B38">
              <w:t>)</w:t>
            </w:r>
          </w:p>
          <w:p w:rsidR="00F13B54" w:rsidRPr="002A5B38" w:rsidRDefault="00F13B54" w:rsidP="00A26C1C">
            <w:pPr>
              <w:pStyle w:val="TableText"/>
            </w:pPr>
            <w:r>
              <w:t>Tonsillectomy: 23 (11.1</w:t>
            </w:r>
            <w:r w:rsidRPr="002A5B38">
              <w:t>)</w:t>
            </w:r>
          </w:p>
          <w:p w:rsidR="00F13B54" w:rsidRPr="002A5B38" w:rsidRDefault="00F13B54" w:rsidP="00A26C1C">
            <w:pPr>
              <w:pStyle w:val="TableText"/>
            </w:pPr>
            <w:r>
              <w:t>Cleft palate: 17 (8.2</w:t>
            </w:r>
            <w:r w:rsidRPr="002A5B38">
              <w:t>)</w:t>
            </w:r>
          </w:p>
          <w:p w:rsidR="00F13B54" w:rsidRPr="002A5B38" w:rsidRDefault="00F13B54" w:rsidP="00A26C1C">
            <w:pPr>
              <w:pStyle w:val="TableText"/>
            </w:pPr>
            <w:r>
              <w:t>Ever grommets 49 (23.6</w:t>
            </w:r>
            <w:r w:rsidRPr="002A5B38">
              <w:t>)</w:t>
            </w:r>
          </w:p>
          <w:p w:rsidR="00F13B54" w:rsidRDefault="00F13B54" w:rsidP="00A26C1C">
            <w:pPr>
              <w:pStyle w:val="TableText"/>
            </w:pPr>
            <w:r>
              <w:t>Allergies: 7 (3.4</w:t>
            </w:r>
            <w:r w:rsidRPr="002A5B38">
              <w:t>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>
              <w:t>Overall: 48.1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2A5B38" w:rsidRDefault="00F13B54" w:rsidP="00A26C1C">
            <w:pPr>
              <w:pStyle w:val="TableText"/>
            </w:pPr>
            <w:r>
              <w:t>Overall: 18.3</w:t>
            </w:r>
            <w:r w:rsidRPr="002A5B38">
              <w:t xml:space="preserve"> </w:t>
            </w:r>
          </w:p>
          <w:p w:rsidR="00F13B54" w:rsidRPr="002A5B38" w:rsidRDefault="00F13B54" w:rsidP="00A26C1C">
            <w:pPr>
              <w:pStyle w:val="TableText"/>
            </w:pPr>
            <w:r>
              <w:t>Mediterranean: 7.7</w:t>
            </w:r>
          </w:p>
          <w:p w:rsidR="00F13B54" w:rsidRPr="002A5B38" w:rsidRDefault="00F13B54" w:rsidP="00A26C1C">
            <w:pPr>
              <w:pStyle w:val="TableText"/>
            </w:pPr>
            <w:r>
              <w:t>Black: 6.3</w:t>
            </w:r>
          </w:p>
          <w:p w:rsidR="00F13B54" w:rsidRPr="002A5B38" w:rsidRDefault="00F13B54" w:rsidP="00A26C1C">
            <w:pPr>
              <w:pStyle w:val="TableText"/>
            </w:pPr>
            <w:r>
              <w:t>Asian: 1.9</w:t>
            </w:r>
          </w:p>
          <w:p w:rsidR="00F13B54" w:rsidRPr="003520A7" w:rsidRDefault="00F13B54" w:rsidP="00A26C1C">
            <w:pPr>
              <w:pStyle w:val="TableText"/>
            </w:pPr>
            <w:r w:rsidRPr="002A5B38">
              <w:t xml:space="preserve">Other: 2.4 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 w:rsidRPr="002A5B38">
              <w:t>Yes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Ovesen</w:t>
            </w:r>
            <w:r>
              <w:t xml:space="preserve"> et al.,</w:t>
            </w:r>
            <w:r w:rsidRPr="002A5B38">
              <w:t xml:space="preserve"> 2000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Pr="002A5B38" w:rsidRDefault="00F13B54" w:rsidP="00A26C1C">
            <w:pPr>
              <w:pStyle w:val="TableText"/>
            </w:pPr>
            <w:r>
              <w:t>M</w:t>
            </w:r>
            <w:r w:rsidRPr="002A5B38">
              <w:t xml:space="preserve">ean </w:t>
            </w:r>
            <w:r>
              <w:t>(range)</w:t>
            </w:r>
          </w:p>
          <w:p w:rsidR="00F13B54" w:rsidRDefault="00F13B54" w:rsidP="00A26C1C">
            <w:pPr>
              <w:pStyle w:val="TableText"/>
            </w:pPr>
            <w:r>
              <w:t>Overall: 38 months (1-7 y</w:t>
            </w:r>
            <w:r w:rsidRPr="002A5B38">
              <w:t>rs)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O</w:t>
            </w:r>
            <w:r w:rsidRPr="002A5B38">
              <w:t>tomicroscopical exam, tympanometry (middle ear pressure &lt; 200 mm H2O)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Children undergoing TT</w:t>
            </w:r>
            <w:r w:rsidRPr="00F84228">
              <w:t xml:space="preserve"> insertion bilaterally</w:t>
            </w:r>
            <w:r>
              <w:t xml:space="preserve"> for the first time due to OME</w:t>
            </w:r>
          </w:p>
          <w:p w:rsidR="00F13B54" w:rsidRDefault="00F13B54" w:rsidP="00A26C1C">
            <w:pPr>
              <w:pStyle w:val="TableBullet"/>
              <w:numPr>
                <w:ilvl w:val="0"/>
                <w:numId w:val="0"/>
              </w:numPr>
              <w:ind w:left="255"/>
            </w:pP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atients with antibiotics within 1 month of surgery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atients with other diseases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atients with AOM at time of surgery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G</w:t>
            </w:r>
            <w:r w:rsidRPr="002A5B38">
              <w:t>enerally excluded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>
              <w:t>Overall: 36</w:t>
            </w:r>
          </w:p>
          <w:p w:rsidR="00F13B54" w:rsidRDefault="00F13B54" w:rsidP="00A26C1C">
            <w:pPr>
              <w:pStyle w:val="TableText"/>
            </w:pPr>
          </w:p>
          <w:p w:rsidR="00F13B54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>
              <w:t>Y</w:t>
            </w:r>
            <w:r w:rsidRPr="002A5B38">
              <w:t>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Wielinga</w:t>
            </w:r>
            <w:r>
              <w:t xml:space="preserve"> et al.,</w:t>
            </w:r>
            <w:r w:rsidRPr="002A5B38">
              <w:t xml:space="preserve"> 1990</w:t>
            </w:r>
            <w:r w:rsidRPr="0085173E">
              <w:rPr>
                <w:rFonts w:ascii="Times New Roman" w:hAnsi="Times New Roman" w:cs="Times New Roman"/>
                <w:noProof/>
                <w:vertAlign w:val="superscript"/>
              </w:rPr>
              <w:t>19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>
              <w:t>Mean, yrs</w:t>
            </w:r>
          </w:p>
          <w:p w:rsidR="00F13B54" w:rsidRPr="002A5B38" w:rsidRDefault="00F13B54" w:rsidP="00A26C1C">
            <w:pPr>
              <w:pStyle w:val="TableText"/>
            </w:pPr>
            <w:r>
              <w:t xml:space="preserve">Males: 7 </w:t>
            </w:r>
          </w:p>
          <w:p w:rsidR="00F13B54" w:rsidRDefault="00F13B54" w:rsidP="00A26C1C">
            <w:pPr>
              <w:pStyle w:val="TableText"/>
            </w:pPr>
            <w:r>
              <w:t xml:space="preserve">Females: 6 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O</w:t>
            </w:r>
            <w:r w:rsidRPr="002A5B38">
              <w:t>toscopy, pure tone audiometry, tympanometry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B</w:t>
            </w:r>
            <w:r w:rsidRPr="002A5B38">
              <w:t xml:space="preserve">ilateral OME 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6 months of unsuccessfull treatment with standard decongestive medications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M</w:t>
            </w:r>
            <w:r w:rsidRPr="002A5B38">
              <w:t>ucoid secretion aspiration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NR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Pr="002A5B38" w:rsidRDefault="00F13B54" w:rsidP="00A26C1C">
            <w:pPr>
              <w:pStyle w:val="TableText"/>
            </w:pPr>
            <w:r>
              <w:t>Airconduction thre</w:t>
            </w:r>
            <w:r w:rsidRPr="002A5B38">
              <w:t xml:space="preserve">sholds &gt;20 dB 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13</w:t>
            </w:r>
          </w:p>
          <w:p w:rsidR="00F13B54" w:rsidRDefault="00F13B54" w:rsidP="00A26C1C">
            <w:pPr>
              <w:pStyle w:val="TableText"/>
            </w:pPr>
            <w:r w:rsidRPr="002A5B38">
              <w:t>G2: 11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>
              <w:t>Overall: 40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 w:rsidRPr="002A5B38">
              <w:t>Yes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rPr>
          <w:trHeight w:val="7243"/>
        </w:trPr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Mandel</w:t>
            </w:r>
            <w:r>
              <w:t xml:space="preserve"> et al.,</w:t>
            </w:r>
            <w:r w:rsidRPr="002A5B38">
              <w:t xml:space="preserve"> 1989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 w:rsidRPr="002A5B38">
              <w:t>Overall: 7 mos -12 yrs</w:t>
            </w:r>
          </w:p>
          <w:p w:rsidR="00F13B54" w:rsidRDefault="00F13B54" w:rsidP="00A26C1C">
            <w:pPr>
              <w:pStyle w:val="TableText"/>
            </w:pPr>
            <w:r>
              <w:t>Groups without hearing loss, by age grp</w:t>
            </w:r>
          </w:p>
          <w:p w:rsidR="00F13B54" w:rsidRDefault="00F13B54" w:rsidP="00A26C1C">
            <w:pPr>
              <w:pStyle w:val="TableText"/>
            </w:pPr>
            <w:r w:rsidRPr="002A5B38">
              <w:t xml:space="preserve">G1: 7-23 mos n=6 </w:t>
            </w:r>
            <w:r>
              <w:t xml:space="preserve">; 2-5 yrs  </w:t>
            </w:r>
            <w:r w:rsidRPr="002A5B38">
              <w:t>n=14</w:t>
            </w:r>
            <w:r>
              <w:t xml:space="preserve">; </w:t>
            </w:r>
            <w:r w:rsidRPr="002A5B38">
              <w:t xml:space="preserve">6-12 yrs   n=7        </w:t>
            </w:r>
          </w:p>
          <w:p w:rsidR="00F13B54" w:rsidRDefault="00F13B54" w:rsidP="00A26C1C">
            <w:pPr>
              <w:pStyle w:val="TableText"/>
            </w:pPr>
            <w:r w:rsidRPr="002A5B38">
              <w:t xml:space="preserve">G2: 7-23 mos n=8 </w:t>
            </w:r>
            <w:r>
              <w:t>; 2-5 yrs  n=</w:t>
            </w:r>
            <w:r w:rsidRPr="002A5B38">
              <w:t>17</w:t>
            </w:r>
            <w:r>
              <w:t>;</w:t>
            </w:r>
            <w:r w:rsidRPr="002A5B38">
              <w:t xml:space="preserve"> </w:t>
            </w:r>
            <w:r>
              <w:t xml:space="preserve"> 6-12 yrs  n=</w:t>
            </w:r>
            <w:r w:rsidRPr="002A5B38">
              <w:t xml:space="preserve">5 </w:t>
            </w:r>
          </w:p>
          <w:p w:rsidR="00F13B54" w:rsidRDefault="00F13B54" w:rsidP="00A26C1C">
            <w:pPr>
              <w:pStyle w:val="TableText"/>
            </w:pPr>
            <w:r w:rsidRPr="002A5B38">
              <w:t>G3: 7-23 mos</w:t>
            </w:r>
            <w:r>
              <w:t xml:space="preserve">; </w:t>
            </w:r>
            <w:r w:rsidRPr="002A5B38">
              <w:t xml:space="preserve"> n=7</w:t>
            </w:r>
            <w:r>
              <w:t xml:space="preserve">; </w:t>
            </w:r>
            <w:r w:rsidRPr="002A5B38">
              <w:t xml:space="preserve"> 2-5 yrs  n=17</w:t>
            </w:r>
            <w:r>
              <w:t>;</w:t>
            </w:r>
            <w:r w:rsidRPr="002A5B38">
              <w:t xml:space="preserve"> 6-12 yrs n=5          </w:t>
            </w:r>
          </w:p>
          <w:p w:rsidR="00F13B54" w:rsidRDefault="00F13B54" w:rsidP="00A26C1C">
            <w:pPr>
              <w:pStyle w:val="TableText"/>
            </w:pPr>
            <w:r>
              <w:t>Groups with hearing loss, by age grp</w:t>
            </w:r>
          </w:p>
          <w:p w:rsidR="00F13B54" w:rsidRDefault="00F13B54" w:rsidP="00A26C1C">
            <w:pPr>
              <w:pStyle w:val="TableText"/>
            </w:pPr>
            <w:r w:rsidRPr="002A5B38">
              <w:t xml:space="preserve">G4: 7-23 mos </w:t>
            </w:r>
            <w:r>
              <w:t xml:space="preserve"> </w:t>
            </w:r>
            <w:r w:rsidRPr="002A5B38">
              <w:t>n=7</w:t>
            </w:r>
            <w:r>
              <w:t>;  2-5 yrs</w:t>
            </w:r>
            <w:r w:rsidRPr="002A5B38">
              <w:t xml:space="preserve"> </w:t>
            </w:r>
            <w:r>
              <w:t xml:space="preserve"> </w:t>
            </w:r>
            <w:r w:rsidRPr="002A5B38">
              <w:t>n= 3</w:t>
            </w:r>
            <w:r>
              <w:t>;</w:t>
            </w:r>
            <w:r w:rsidRPr="002A5B38">
              <w:t xml:space="preserve">  </w:t>
            </w:r>
            <w:r>
              <w:t>6-12 yrs   n=</w:t>
            </w:r>
            <w:r w:rsidRPr="002A5B38">
              <w:t xml:space="preserve">2       </w:t>
            </w:r>
            <w:r>
              <w:br/>
            </w:r>
            <w:r w:rsidRPr="002A5B38">
              <w:t>G5: 7-23 mos n=6</w:t>
            </w:r>
            <w:r>
              <w:t>;  2-5 yrs  n=</w:t>
            </w:r>
            <w:r w:rsidRPr="002A5B38">
              <w:t>4</w:t>
            </w:r>
            <w:r>
              <w:t>;</w:t>
            </w:r>
            <w:r w:rsidRPr="002A5B38">
              <w:t xml:space="preserve"> </w:t>
            </w:r>
            <w:r>
              <w:t>6-12 yrs       n =</w:t>
            </w:r>
            <w:r w:rsidRPr="002A5B38">
              <w:t>1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V</w:t>
            </w:r>
            <w:r w:rsidRPr="002A5B38">
              <w:t>alidated otoscopy, tympanometry, middle-ear muscle reflex testing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 xml:space="preserve">Children between 7 mos and 12 yrs of age                              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Documented MEE of at least 2 mos duration persisting after at least one 14 day course of antimicrobial drug and pseudoephedine hydrochloride-chlorpheniramine maleate syrup.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raniofacial malformations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Down syndrome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S</w:t>
            </w:r>
            <w:r w:rsidRPr="002A5B38">
              <w:t xml:space="preserve">ystemic illness such as asthma, cystic fibrosis or diabetes   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S</w:t>
            </w:r>
            <w:r w:rsidRPr="002A5B38">
              <w:t>eizure disorder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 w:rsidRPr="002A5B38">
              <w:t>Acoustic reflex thresholds were estimated for1000 Hz tone ipsilaterally and contralaterally.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Default="00F13B54" w:rsidP="00A26C1C">
            <w:pPr>
              <w:pStyle w:val="TableText"/>
            </w:pPr>
            <w:r w:rsidRPr="002A5B38">
              <w:t>Audiologic procedures depended upon age.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  <w:ind w:left="255" w:hanging="255"/>
            </w:pPr>
            <w:r w:rsidRPr="002B0F4B">
              <w:t>&lt;</w:t>
            </w:r>
            <w:r>
              <w:t xml:space="preserve"> 2.5 yrs: </w:t>
            </w:r>
            <w:r w:rsidRPr="002A5B38">
              <w:t>were tested i</w:t>
            </w:r>
            <w:r>
              <w:t>n sound field using a</w:t>
            </w:r>
            <w:r w:rsidRPr="002A5B38">
              <w:t xml:space="preserve"> head turn response. Speech awareness thresholds and minimum response levels for warbled pure tones were estimated for these children. 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  <w:ind w:left="255" w:hanging="255"/>
            </w:pPr>
            <w:r>
              <w:t>2.5 –</w:t>
            </w:r>
            <w:r w:rsidRPr="002A5B38">
              <w:t xml:space="preserve"> 5 yrs</w:t>
            </w:r>
            <w:r>
              <w:t>:</w:t>
            </w:r>
            <w:r w:rsidRPr="002A5B38">
              <w:t xml:space="preserve"> were tested with play audiometry. 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  <w:ind w:left="255" w:hanging="255"/>
            </w:pPr>
            <w:r>
              <w:rPr>
                <w:rFonts w:ascii="Calibri" w:hAnsi="Calibri"/>
              </w:rPr>
              <w:t xml:space="preserve">&gt; 5 yrs: </w:t>
            </w:r>
            <w:r w:rsidRPr="002B0F4B">
              <w:t>t</w:t>
            </w:r>
            <w:r w:rsidRPr="002A5B38">
              <w:t xml:space="preserve">raditional clinical protocol was used for  chidren older. Bilateral thresholds under earphones from 500 to 4000 Hertz were obtained. 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  <w:ind w:left="255" w:hanging="255"/>
            </w:pPr>
            <w:r w:rsidRPr="002A5B38">
              <w:t>SRT for each ear were obtained using age appropriate responses (picture, id or word rep)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S</w:t>
            </w:r>
            <w:r w:rsidRPr="002A5B38">
              <w:t>ig</w:t>
            </w:r>
            <w:r>
              <w:t>nificant</w:t>
            </w:r>
            <w:r w:rsidRPr="002A5B38">
              <w:t xml:space="preserve"> hearing loss for randomization: pure tone avg of &gt;20 dB bilaterallyu or &gt;40 dB unilaterally or a speech awareness threshold &gt;20 dB above the age-appropriate level or otalgia or vertigo unresponsive to medical treatment among those who do not have hearing or speech deficiencies.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Otalgi</w:t>
            </w:r>
            <w:r w:rsidRPr="002A5B38">
              <w:t>a or vertigo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>
              <w:t>Overall: 33</w:t>
            </w:r>
            <w:r w:rsidRPr="002A5B38">
              <w:t xml:space="preserve">    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 w:rsidRPr="002A5B38">
              <w:t>Yes</w:t>
            </w:r>
          </w:p>
          <w:p w:rsidR="00F13B54" w:rsidRDefault="00F13B54" w:rsidP="00A26C1C">
            <w:pPr>
              <w:pStyle w:val="TableText"/>
            </w:pPr>
          </w:p>
          <w:p w:rsidR="00F13B54" w:rsidRDefault="00F13B54" w:rsidP="00A26C1C">
            <w:pPr>
              <w:pStyle w:val="TableText"/>
            </w:pPr>
            <w:r>
              <w:t>Comments</w:t>
            </w:r>
          </w:p>
          <w:p w:rsidR="00F13B54" w:rsidRPr="003520A7" w:rsidRDefault="00F13B54" w:rsidP="00A26C1C">
            <w:pPr>
              <w:pStyle w:val="TableText"/>
            </w:pPr>
            <w:r>
              <w:t xml:space="preserve">Participants </w:t>
            </w:r>
            <w:r w:rsidRPr="007D57EC">
              <w:t>were divided into</w:t>
            </w:r>
            <w:r>
              <w:t xml:space="preserve"> 2 </w:t>
            </w:r>
            <w:r w:rsidRPr="007D57EC">
              <w:t xml:space="preserve">groups: those </w:t>
            </w:r>
            <w:r>
              <w:t>with "signif</w:t>
            </w:r>
            <w:r w:rsidRPr="007D57EC">
              <w:t>cant" hearing loss (defined arbitrarily as a</w:t>
            </w:r>
            <w:r>
              <w:t xml:space="preserve"> </w:t>
            </w:r>
            <w:r w:rsidRPr="007D57EC">
              <w:t xml:space="preserve">pure-tone average  of &gt;20 </w:t>
            </w:r>
            <w:r>
              <w:t>dB bilater</w:t>
            </w:r>
            <w:r w:rsidRPr="007D57EC">
              <w:t>ally or &gt;40 dB unilaterally, or a speech</w:t>
            </w:r>
            <w:r>
              <w:t xml:space="preserve"> </w:t>
            </w:r>
            <w:r w:rsidRPr="007D57EC">
              <w:t xml:space="preserve">awareness threshold </w:t>
            </w:r>
            <w:r>
              <w:t xml:space="preserve">&gt;20 dB above the </w:t>
            </w:r>
            <w:r w:rsidRPr="007D57EC">
              <w:t>age</w:t>
            </w:r>
            <w:r>
              <w:t xml:space="preserve"> </w:t>
            </w:r>
            <w:r w:rsidRPr="007D57EC">
              <w:t>appropriate</w:t>
            </w:r>
            <w:r>
              <w:t xml:space="preserve"> level</w:t>
            </w:r>
            <w:r w:rsidRPr="007D57EC">
              <w:t xml:space="preserve">) </w:t>
            </w:r>
            <w:r>
              <w:t xml:space="preserve">or </w:t>
            </w:r>
            <w:r w:rsidRPr="007D57EC">
              <w:t>symptoms consisting</w:t>
            </w:r>
            <w:r>
              <w:t xml:space="preserve"> </w:t>
            </w:r>
            <w:r w:rsidRPr="007D57EC">
              <w:t xml:space="preserve">of otalgia or vertigo unresponsive to </w:t>
            </w:r>
            <w:r>
              <w:t>medi</w:t>
            </w:r>
            <w:r w:rsidRPr="007D57EC">
              <w:t>cal treatment, and those who had none of</w:t>
            </w:r>
            <w:r>
              <w:t xml:space="preserve"> </w:t>
            </w:r>
            <w:r w:rsidRPr="007D57EC">
              <w:t>these findings. Within these groups, the</w:t>
            </w:r>
            <w:r>
              <w:t xml:space="preserve"> </w:t>
            </w:r>
            <w:r w:rsidRPr="007D57EC">
              <w:t xml:space="preserve">subjects were </w:t>
            </w:r>
            <w:r>
              <w:t xml:space="preserve">stratified </w:t>
            </w:r>
            <w:r w:rsidRPr="007D57EC">
              <w:t>according to</w:t>
            </w:r>
            <w:r>
              <w:t xml:space="preserve"> </w:t>
            </w:r>
            <w:r w:rsidRPr="007D57EC">
              <w:t>ag</w:t>
            </w:r>
            <w:r>
              <w:t>e.</w:t>
            </w: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Mandel</w:t>
            </w:r>
            <w:r>
              <w:t xml:space="preserve"> et al.,</w:t>
            </w:r>
            <w:r w:rsidRPr="002A5B38">
              <w:t xml:space="preserve"> 1989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  <w:p w:rsidR="00F13B54" w:rsidRPr="002A5B38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H</w:t>
            </w:r>
            <w:r w:rsidRPr="002A5B38">
              <w:t>istory of tonsillectomy, adenoidectomy, or TT insertion</w:t>
            </w:r>
          </w:p>
          <w:p w:rsidR="00F13B54" w:rsidRPr="004A21C5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S</w:t>
            </w:r>
            <w:r w:rsidRPr="002A5B38">
              <w:t>tructual middle-ear abnormality such as tympanic membrane perforation or</w:t>
            </w:r>
            <w:r>
              <w:t xml:space="preserve"> </w:t>
            </w:r>
            <w:r w:rsidRPr="002A5B38">
              <w:t>adhesive OM; cholesteatoma; sensorineural</w:t>
            </w:r>
            <w:r>
              <w:t xml:space="preserve"> </w:t>
            </w:r>
            <w:r w:rsidRPr="002A5B38">
              <w:t>hearing loss or conductive loss not attributable to MEE; severe upper airway obstruction; AOM; or purulent rhinitis.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Default="00F13B54" w:rsidP="00A26C1C">
            <w:pPr>
              <w:pStyle w:val="TableText"/>
            </w:pPr>
            <w:r w:rsidRPr="002A5B38">
              <w:t>Overall</w:t>
            </w:r>
          </w:p>
          <w:p w:rsidR="00F13B54" w:rsidRPr="002A5B38" w:rsidRDefault="00F13B54" w:rsidP="00A26C1C">
            <w:pPr>
              <w:pStyle w:val="TableText"/>
            </w:pPr>
            <w:r>
              <w:t>Black: 25.7</w:t>
            </w:r>
          </w:p>
          <w:p w:rsidR="00F13B54" w:rsidRDefault="00F13B54" w:rsidP="00A26C1C">
            <w:pPr>
              <w:pStyle w:val="TableText"/>
            </w:pPr>
          </w:p>
        </w:tc>
        <w:tc>
          <w:tcPr>
            <w:tcW w:w="3618" w:type="dxa"/>
            <w:shd w:val="clear" w:color="auto" w:fill="auto"/>
          </w:tcPr>
          <w:p w:rsidR="00F13B54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McRae</w:t>
            </w:r>
            <w:r>
              <w:t xml:space="preserve"> et al.,</w:t>
            </w:r>
            <w:r w:rsidRPr="002A5B38">
              <w:t>1989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>
              <w:t>M</w:t>
            </w:r>
            <w:r w:rsidRPr="002A5B38">
              <w:t>ean</w:t>
            </w:r>
            <w:r>
              <w:t>, years (range)</w:t>
            </w:r>
          </w:p>
          <w:p w:rsidR="00F13B54" w:rsidRPr="002A5B38" w:rsidRDefault="00F13B54" w:rsidP="00A26C1C">
            <w:pPr>
              <w:pStyle w:val="TableText"/>
            </w:pPr>
            <w:r>
              <w:t>Overall: 5.8</w:t>
            </w:r>
          </w:p>
          <w:p w:rsidR="00F13B54" w:rsidRDefault="00F13B54" w:rsidP="00A26C1C">
            <w:pPr>
              <w:pStyle w:val="TableText"/>
            </w:pPr>
            <w:r>
              <w:t>Range: (2.3 -10)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O</w:t>
            </w:r>
            <w:r w:rsidRPr="002A5B38">
              <w:t>toscopy and impedance audiometry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Children at head of wa</w:t>
            </w:r>
            <w:r w:rsidRPr="002A5B38">
              <w:t>iting list for bilateral myringotomy and ventilation tube insertion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S</w:t>
            </w:r>
            <w:r w:rsidRPr="002A5B38">
              <w:t>ubsequent surgery in study duration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>
              <w:t>Overall: 34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Pr="003520A7" w:rsidRDefault="00F13B54" w:rsidP="00A26C1C">
            <w:pPr>
              <w:pStyle w:val="TableText"/>
            </w:pPr>
            <w:r>
              <w:t>Yes</w:t>
            </w: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Lildholdt 1979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4A21C5">
              <w:t>Age</w:t>
            </w:r>
          </w:p>
          <w:p w:rsidR="00F13B54" w:rsidRPr="004A21C5" w:rsidRDefault="00F13B54" w:rsidP="00A26C1C">
            <w:pPr>
              <w:pStyle w:val="TableText"/>
            </w:pPr>
            <w:r>
              <w:t>Mean years (range)</w:t>
            </w:r>
          </w:p>
          <w:p w:rsidR="00F13B54" w:rsidRDefault="00F13B54" w:rsidP="00A26C1C">
            <w:pPr>
              <w:pStyle w:val="TableText"/>
            </w:pPr>
            <w:r>
              <w:t>Overall: 4 (1-10)</w:t>
            </w:r>
            <w:r w:rsidRPr="002A5B38">
              <w:t xml:space="preserve"> 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 w:rsidRPr="002A5B38">
              <w:t>Bilateral middle ear pressure below -150mm H2</w:t>
            </w:r>
            <w:r>
              <w:t xml:space="preserve">0. If audiogram was possible a </w:t>
            </w:r>
            <w:r w:rsidRPr="002A5B38">
              <w:t>maximum 15dB diff at 500, 1000, 2,000 Hz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</w:t>
            </w:r>
            <w:r w:rsidRPr="002A5B38">
              <w:t>ot clearly specified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revious use of TT, recurrent acute supperative OM, unequal involvemnt of ears, congenital defects such as cleft palate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 w:rsidRPr="002A5B38">
              <w:t>Bilateral middle ear pressure below -150mm H20.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Overall: If audiogram was possible a a</w:t>
            </w:r>
            <w:r>
              <w:t xml:space="preserve"> </w:t>
            </w:r>
            <w:r w:rsidRPr="002A5B38">
              <w:t xml:space="preserve">maximum 15dB diff at 500, 1000, 2,000 Hz 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Pr="002A5B38" w:rsidRDefault="00F13B54" w:rsidP="00A26C1C">
            <w:pPr>
              <w:pStyle w:val="TableText"/>
            </w:pPr>
            <w:r>
              <w:t>G1: 41</w:t>
            </w:r>
          </w:p>
          <w:p w:rsidR="00F13B54" w:rsidRDefault="00F13B54" w:rsidP="00A26C1C">
            <w:pPr>
              <w:pStyle w:val="TableText"/>
            </w:pPr>
            <w:r w:rsidRPr="002A5B38">
              <w:t>G2:</w:t>
            </w:r>
            <w:r>
              <w:t xml:space="preserve"> 41 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 w:rsidRPr="002A5B38">
              <w:t>No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Brown et al., 1978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>
              <w:t xml:space="preserve">Range overall, years: </w:t>
            </w:r>
            <w:r w:rsidRPr="002A5B38">
              <w:t xml:space="preserve">4 to 10 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Hx</w:t>
            </w:r>
            <w:r w:rsidRPr="002A5B38">
              <w:t>, otoscopy and pure tone audiometry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</w:t>
            </w:r>
            <w:r w:rsidRPr="002A5B38">
              <w:t>ot specified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</w:t>
            </w:r>
            <w:r w:rsidRPr="002A5B38">
              <w:t>ot specified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Pr="002A5B38" w:rsidRDefault="00F13B54" w:rsidP="00A26C1C">
            <w:pPr>
              <w:pStyle w:val="TableText"/>
            </w:pPr>
            <w:r>
              <w:t>P</w:t>
            </w:r>
            <w:r w:rsidRPr="002A5B38">
              <w:t xml:space="preserve">ure tome audiometry at 500, 1000, 2000, 4000 Hz 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25 dB</w:t>
            </w:r>
          </w:p>
          <w:p w:rsidR="00F13B54" w:rsidRDefault="00F13B54" w:rsidP="00A26C1C">
            <w:pPr>
              <w:pStyle w:val="TableText"/>
            </w:pPr>
            <w:r w:rsidRPr="002A5B38">
              <w:t>G2:  23.1 dB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 w:rsidRPr="002A5B38">
              <w:t>No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Comments</w:t>
            </w:r>
          </w:p>
          <w:p w:rsidR="00F13B54" w:rsidRPr="003520A7" w:rsidRDefault="00F13B54" w:rsidP="00A26C1C">
            <w:pPr>
              <w:pStyle w:val="TableText"/>
            </w:pPr>
            <w:r w:rsidRPr="002A5B38">
              <w:t xml:space="preserve">The subject population is </w:t>
            </w:r>
            <w:r>
              <w:t xml:space="preserve">very </w:t>
            </w:r>
            <w:r w:rsidRPr="002A5B38">
              <w:t>marginally described.</w:t>
            </w: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Szeremeta</w:t>
            </w:r>
            <w:r>
              <w:t xml:space="preserve"> et al.,</w:t>
            </w:r>
            <w:r w:rsidRPr="002A5B38">
              <w:t xml:space="preserve"> 2000</w:t>
            </w:r>
            <w:r w:rsidRPr="0085173E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4A21C5">
              <w:t>Age</w:t>
            </w:r>
          </w:p>
          <w:p w:rsidR="00F13B54" w:rsidRPr="004A21C5" w:rsidRDefault="00F13B54" w:rsidP="00A26C1C">
            <w:pPr>
              <w:pStyle w:val="TableText"/>
            </w:pPr>
            <w:r>
              <w:t>Mean years, (range)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6.52 (2.74 - 12.52)</w:t>
            </w:r>
          </w:p>
          <w:p w:rsidR="00F13B54" w:rsidRDefault="00F13B54" w:rsidP="00A26C1C">
            <w:pPr>
              <w:pStyle w:val="TableText"/>
            </w:pPr>
            <w:r w:rsidRPr="002A5B38">
              <w:t>G2: 7.37 (3.86 - 5.34)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 xml:space="preserve"> C</w:t>
            </w:r>
            <w:r w:rsidRPr="002A5B38">
              <w:t>hildren &gt; 4 years with refractory OME or 2nd middle ear intubation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 xml:space="preserve"> S</w:t>
            </w:r>
            <w:r w:rsidRPr="002A5B38">
              <w:t>pring operations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NR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 w:rsidRPr="002A5B38">
              <w:t>Yes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Iwaki</w:t>
            </w:r>
            <w:r>
              <w:t xml:space="preserve"> et al.,</w:t>
            </w:r>
            <w:r w:rsidRPr="002A5B38">
              <w:t xml:space="preserve"> 1998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>
              <w:t>Overall: range 3-12 y</w:t>
            </w:r>
            <w:r w:rsidRPr="002A5B38">
              <w:t>rs</w:t>
            </w:r>
          </w:p>
          <w:p w:rsidR="00F13B54" w:rsidRPr="002A5B38" w:rsidRDefault="00F13B54" w:rsidP="00A26C1C">
            <w:pPr>
              <w:pStyle w:val="TableText"/>
            </w:pPr>
            <w:r>
              <w:t>Mean, years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 xml:space="preserve">G1: 6.2 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 xml:space="preserve">G2: 6.5 </w:t>
            </w:r>
          </w:p>
          <w:p w:rsidR="00F13B54" w:rsidRDefault="00F13B54" w:rsidP="00A26C1C">
            <w:pPr>
              <w:pStyle w:val="TableText"/>
            </w:pPr>
            <w:r w:rsidRPr="002A5B38">
              <w:t xml:space="preserve">G3: 5.8 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br/>
              <w:t>C</w:t>
            </w:r>
            <w:r w:rsidRPr="002A5B38">
              <w:t>ontinuous conductive hearing loss with over 25 dB air-bone gap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rPr>
                <w:rFonts w:ascii="Calibri" w:hAnsi="Calibri"/>
              </w:rPr>
              <w:t>≥</w:t>
            </w:r>
            <w:r>
              <w:t xml:space="preserve"> 6 months r</w:t>
            </w:r>
            <w:r w:rsidRPr="002A5B38">
              <w:t xml:space="preserve">esistance to conservative thearpy with medication and politzerization 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R</w:t>
            </w:r>
            <w:r w:rsidRPr="002A5B38">
              <w:t>etracted and glue-colored tympanic membrane with type B tympanogram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raniofacial problems such as cleft palate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Pr="002A5B38" w:rsidRDefault="00F13B54" w:rsidP="00A26C1C">
            <w:pPr>
              <w:pStyle w:val="TableText"/>
            </w:pPr>
            <w:r>
              <w:t>Overall:38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 w:rsidRPr="002A5B38"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 w:rsidRPr="002A5B38">
              <w:t>Yes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Austin, 1994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FB5CD1">
              <w:t>Indication for adenotonsillectomy and OME, Resistant to ENT or pediatric management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NR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Air-Bone Gap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29.9 dB</w:t>
            </w:r>
          </w:p>
          <w:p w:rsidR="00F13B54" w:rsidRDefault="00F13B54" w:rsidP="00A26C1C">
            <w:pPr>
              <w:pStyle w:val="TableText"/>
            </w:pPr>
            <w:r w:rsidRPr="002A5B38">
              <w:t>G2: 26.6 dB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 w:rsidRPr="002A5B38">
              <w:t>No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Comments</w:t>
            </w:r>
          </w:p>
          <w:p w:rsidR="00F13B54" w:rsidRPr="003520A7" w:rsidRDefault="00F13B54" w:rsidP="00A26C1C">
            <w:pPr>
              <w:pStyle w:val="TableText"/>
            </w:pPr>
            <w:r>
              <w:t xml:space="preserve">Regarding applicability: Not enough information on the sample so it is hard to </w:t>
            </w:r>
            <w:r w:rsidRPr="002A5B38">
              <w:t>generalize</w:t>
            </w:r>
            <w:r>
              <w:t>.</w:t>
            </w: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Abdullah</w:t>
            </w:r>
            <w:r>
              <w:t xml:space="preserve"> et al.,</w:t>
            </w:r>
            <w:r w:rsidRPr="002A5B38">
              <w:t xml:space="preserve"> 1994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>
              <w:t>Mean years (range)</w:t>
            </w:r>
          </w:p>
          <w:p w:rsidR="00F13B54" w:rsidRDefault="00F13B54" w:rsidP="00A26C1C">
            <w:pPr>
              <w:pStyle w:val="TableText"/>
            </w:pPr>
            <w:r>
              <w:t xml:space="preserve">Overall: </w:t>
            </w:r>
            <w:r w:rsidRPr="002A5B38">
              <w:t>6 (3-10)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De novo OME</w:t>
            </w:r>
          </w:p>
          <w:p w:rsidR="00F13B54" w:rsidRDefault="00F13B54" w:rsidP="00A26C1C">
            <w:pPr>
              <w:pStyle w:val="TableBullet"/>
              <w:numPr>
                <w:ilvl w:val="0"/>
                <w:numId w:val="0"/>
              </w:numPr>
              <w:ind w:left="720"/>
            </w:pP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</w:t>
            </w:r>
            <w:r w:rsidRPr="002A5B38">
              <w:t xml:space="preserve">o significant hx of </w:t>
            </w:r>
            <w:r>
              <w:t>AOM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</w:t>
            </w:r>
            <w:r w:rsidRPr="002A5B38">
              <w:t>o evidence of tympanosclerosis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 w:rsidRPr="002A5B38">
              <w:t>Overall:</w:t>
            </w:r>
            <w:r>
              <w:t xml:space="preserve"> 36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>
              <w:t>Y</w:t>
            </w:r>
            <w:r w:rsidRPr="002A5B38">
              <w:t>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 xml:space="preserve">Tos </w:t>
            </w:r>
            <w:r>
              <w:t>and</w:t>
            </w:r>
            <w:r w:rsidRPr="002A5B38">
              <w:t xml:space="preserve"> Stangerup, 1989</w:t>
            </w:r>
            <w:r w:rsidRPr="0085173E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 w:rsidRPr="002A5B38">
              <w:t>5 years (no range reported) this is not the baseline age of the initial population, but average age of the 146 people in the study conducted in 1984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3D6058">
              <w:t>Bilateral OME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NR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Specify Scale (mean of 250, 1000, 4000 Hz)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(250 Hz)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21.7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G2: 19.6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(1000 Hz)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23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G2: 20.4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(4000 Hz)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22.8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G2: 20.5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(Mean)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22.5</w:t>
            </w:r>
          </w:p>
          <w:p w:rsidR="00F13B54" w:rsidRDefault="00F13B54" w:rsidP="00A26C1C">
            <w:pPr>
              <w:pStyle w:val="TableText"/>
            </w:pPr>
            <w:r w:rsidRPr="002A5B38">
              <w:t>G2: 20.2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Pr="002A5B38" w:rsidRDefault="00F13B54" w:rsidP="00A26C1C">
            <w:pPr>
              <w:pStyle w:val="TableText"/>
            </w:pPr>
            <w:r>
              <w:t>Overall: NR</w:t>
            </w:r>
            <w:r w:rsidRPr="002A5B38">
              <w:t xml:space="preserve"> for baseline cohort</w:t>
            </w:r>
            <w:r>
              <w:t>;</w:t>
            </w:r>
          </w:p>
          <w:p w:rsidR="00F13B54" w:rsidRDefault="00F13B54" w:rsidP="00A26C1C">
            <w:pPr>
              <w:pStyle w:val="TableText"/>
            </w:pPr>
            <w:r>
              <w:t>for participants of 1984 study, Overall: 40%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>
              <w:t>Y</w:t>
            </w:r>
            <w:r w:rsidRPr="002A5B38">
              <w:t>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Slack et al., 1987</w:t>
            </w:r>
            <w:r w:rsidRPr="00DD2057">
              <w:rPr>
                <w:rFonts w:ascii="Times New Roman" w:hAnsi="Times New Roman" w:cs="Times New Roman"/>
                <w:noProof/>
                <w:vertAlign w:val="superscript"/>
              </w:rPr>
              <w:t>22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>
              <w:rPr>
                <w:rFonts w:ascii="Calibri" w:hAnsi="Calibri"/>
              </w:rPr>
              <w:t>&lt;</w:t>
            </w:r>
            <w:r>
              <w:t xml:space="preserve"> </w:t>
            </w:r>
            <w:r w:rsidRPr="002A5B38">
              <w:t>16 years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hildren &lt;16 years old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TT</w:t>
            </w:r>
            <w:r w:rsidRPr="002A5B38">
              <w:t xml:space="preserve"> inserted for OME in 1983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NR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 w:rsidRPr="002A5B38"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>
              <w:t>Yes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 xml:space="preserve">Shishegar </w:t>
            </w:r>
            <w:r>
              <w:t>and</w:t>
            </w:r>
            <w:r w:rsidRPr="002A5B38">
              <w:t xml:space="preserve"> Hoghoghi, 2007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>
              <w:t>R</w:t>
            </w:r>
            <w:r w:rsidRPr="002A5B38">
              <w:t>ange</w:t>
            </w:r>
            <w:r>
              <w:t>, years</w:t>
            </w:r>
          </w:p>
          <w:p w:rsidR="00F13B54" w:rsidRDefault="00F13B54" w:rsidP="00A26C1C">
            <w:pPr>
              <w:pStyle w:val="TableText"/>
            </w:pPr>
            <w:r>
              <w:t xml:space="preserve">Overall: 4-8 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 w:rsidRPr="002A5B38">
              <w:t>Physical examinations; otoscopoy, audiometry, tympanometry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 xml:space="preserve">Not </w:t>
            </w:r>
            <w:r>
              <w:t xml:space="preserve">specified </w:t>
            </w:r>
          </w:p>
          <w:p w:rsidR="00F13B54" w:rsidRDefault="00F13B54" w:rsidP="00A26C1C">
            <w:pPr>
              <w:pStyle w:val="TableBullet"/>
              <w:numPr>
                <w:ilvl w:val="0"/>
                <w:numId w:val="0"/>
              </w:numPr>
              <w:ind w:left="720"/>
            </w:pP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 xml:space="preserve">Hx </w:t>
            </w:r>
            <w:r w:rsidRPr="002A5B38">
              <w:t>of prior adenotonsillectomy, tympanostomy tube iplacement, dry middle ear, cleft palate, and perforated tympanic membrane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Mean pure tone averages in decibels hearing level (db HL)  at 500, 1,000 and 2, 000 HZ)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25.1 db HL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G2: 26.3 db HL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Mean ears difference</w:t>
            </w:r>
            <w:r>
              <w:t>, dB (SD)</w:t>
            </w:r>
            <w:r w:rsidRPr="002A5B38">
              <w:t xml:space="preserve">: </w:t>
            </w:r>
          </w:p>
          <w:p w:rsidR="00F13B54" w:rsidRDefault="00F13B54" w:rsidP="00A26C1C">
            <w:pPr>
              <w:pStyle w:val="TableText"/>
            </w:pPr>
            <w:r>
              <w:t>1.15 (</w:t>
            </w:r>
            <w:r w:rsidRPr="002A5B38">
              <w:t>3.25</w:t>
            </w:r>
            <w:r>
              <w:t>)</w:t>
            </w:r>
          </w:p>
          <w:p w:rsidR="00F13B54" w:rsidRPr="002A5B38" w:rsidRDefault="00F13B54" w:rsidP="00A26C1C">
            <w:pPr>
              <w:pStyle w:val="TableText"/>
            </w:pPr>
          </w:p>
          <w:p w:rsidR="00F13B54" w:rsidRPr="002A5B38" w:rsidRDefault="00F13B54" w:rsidP="00A26C1C">
            <w:pPr>
              <w:pStyle w:val="TableText"/>
            </w:pPr>
            <w:r w:rsidRPr="002A5B38">
              <w:t>Decreased hearing level: 30/</w:t>
            </w:r>
            <w:r>
              <w:t>30 patients Preoperatively 27 of 30 participants</w:t>
            </w:r>
            <w:r w:rsidRPr="002A5B38">
              <w:t xml:space="preserve"> had hearing loss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Mean s</w:t>
            </w:r>
            <w:r>
              <w:t>peech Reception Threshold (SRT)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Mean paired ear</w:t>
            </w:r>
            <w:r>
              <w:t xml:space="preserve"> </w:t>
            </w:r>
            <w:r w:rsidRPr="002A5B38">
              <w:t>as difference (SD): 0.83 dB (5.105)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24.8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G2: 25.6</w:t>
            </w:r>
          </w:p>
          <w:p w:rsidR="00F13B54" w:rsidRPr="002A5B38" w:rsidRDefault="00F13B54" w:rsidP="00A26C1C">
            <w:pPr>
              <w:pStyle w:val="TableText"/>
            </w:pPr>
            <w:r>
              <w:t>95%CI=</w:t>
            </w:r>
            <w:r w:rsidRPr="002A5B38">
              <w:t>NR</w:t>
            </w:r>
          </w:p>
          <w:p w:rsidR="00F13B54" w:rsidRPr="002A5B38" w:rsidRDefault="00F13B54" w:rsidP="00A26C1C">
            <w:pPr>
              <w:pStyle w:val="TableText"/>
            </w:pPr>
            <w:r>
              <w:t>p=</w:t>
            </w: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N (%):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Nasal obstructio</w:t>
            </w:r>
            <w:r>
              <w:t>n</w:t>
            </w:r>
            <w:r w:rsidRPr="002A5B38">
              <w:t xml:space="preserve"> and snoring: 26 (87)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Recurrent otitis media: 24 (80)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Serious otitis media 19 (63)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History of allergy: 4 (13)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Smoking in parents: 10 (33)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Allergic signs: 10 (33)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Adenoid enlargement 23 (77)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Turbinate hypertrophy: 13 (43)</w:t>
            </w:r>
          </w:p>
          <w:p w:rsidR="00F13B54" w:rsidRDefault="00F13B54" w:rsidP="00A26C1C">
            <w:pPr>
              <w:pStyle w:val="TableText"/>
            </w:pPr>
            <w:r w:rsidRPr="002A5B38">
              <w:t>Septal deviation: 5 (17)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 w:rsidRPr="002A5B38">
              <w:t>No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Comments</w:t>
            </w:r>
          </w:p>
          <w:p w:rsidR="00F13B54" w:rsidRPr="003520A7" w:rsidRDefault="00F13B54" w:rsidP="00A26C1C">
            <w:pPr>
              <w:pStyle w:val="TableText"/>
            </w:pPr>
            <w:r w:rsidRPr="002A5B38">
              <w:t>Unrepresentative comorbidities, but study says "no significant differences in clinical and demographic variables among treatment groups preoperatively."</w:t>
            </w:r>
          </w:p>
        </w:tc>
      </w:tr>
    </w:tbl>
    <w:p w:rsidR="00F13B54" w:rsidRDefault="00F13B54" w:rsidP="00F13B54">
      <w:pPr>
        <w:pStyle w:val="TableTitle"/>
      </w:pP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 xml:space="preserve">Shishegar </w:t>
            </w:r>
            <w:r>
              <w:t>and</w:t>
            </w:r>
            <w:r w:rsidRPr="002A5B38">
              <w:t xml:space="preserve"> Hoghoghi, 2007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  <w:p w:rsidR="00F13B54" w:rsidRPr="002A5B38" w:rsidRDefault="00F13B54" w:rsidP="00A26C1C">
            <w:pPr>
              <w:pStyle w:val="TableText"/>
            </w:pPr>
            <w:r>
              <w:t>(continued)</w:t>
            </w: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Pr="002A5B38" w:rsidRDefault="00F13B54" w:rsidP="00A26C1C">
            <w:pPr>
              <w:pStyle w:val="TableText"/>
            </w:pPr>
            <w:r>
              <w:t>Overall: 37</w:t>
            </w:r>
            <w:r w:rsidRPr="002A5B38">
              <w:t xml:space="preserve"> (11/30 children)</w:t>
            </w:r>
          </w:p>
          <w:p w:rsidR="00F13B54" w:rsidRPr="002A5B38" w:rsidRDefault="00F13B54" w:rsidP="00A26C1C">
            <w:pPr>
              <w:pStyle w:val="TableText"/>
            </w:pPr>
            <w:r>
              <w:t>G1: 37</w:t>
            </w:r>
          </w:p>
          <w:p w:rsidR="00F13B54" w:rsidRDefault="00F13B54" w:rsidP="00A26C1C">
            <w:pPr>
              <w:pStyle w:val="TableText"/>
            </w:pPr>
            <w:r>
              <w:t>G2: 37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Default="00F13B54" w:rsidP="00A26C1C">
            <w:pPr>
              <w:pStyle w:val="TableText"/>
            </w:pPr>
            <w:r w:rsidRPr="002A5B38">
              <w:t>NA</w:t>
            </w:r>
          </w:p>
        </w:tc>
        <w:tc>
          <w:tcPr>
            <w:tcW w:w="3618" w:type="dxa"/>
            <w:shd w:val="clear" w:color="auto" w:fill="auto"/>
          </w:tcPr>
          <w:p w:rsidR="00F13B54" w:rsidRDefault="00F13B54" w:rsidP="00A26C1C">
            <w:pPr>
              <w:pStyle w:val="TableText"/>
            </w:pP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783"/>
        <w:gridCol w:w="423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78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23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 xml:space="preserve">D'Eredità </w:t>
            </w:r>
            <w:r>
              <w:t>and</w:t>
            </w:r>
            <w:r w:rsidRPr="002A5B38">
              <w:t xml:space="preserve"> Shah, 2006</w:t>
            </w:r>
            <w:r w:rsidRPr="00091F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:rsidR="00F13B54" w:rsidRPr="004A21C5" w:rsidRDefault="00F13B54" w:rsidP="00A26C1C">
            <w:pPr>
              <w:pStyle w:val="TableText"/>
            </w:pPr>
            <w:r w:rsidRPr="004A21C5">
              <w:t>Age</w:t>
            </w:r>
          </w:p>
          <w:p w:rsidR="00F13B54" w:rsidRDefault="00F13B54" w:rsidP="00A26C1C">
            <w:pPr>
              <w:pStyle w:val="TableText"/>
            </w:pPr>
            <w:r>
              <w:t>Mean years (range)</w:t>
            </w:r>
          </w:p>
          <w:p w:rsidR="00F13B54" w:rsidRPr="002A5B38" w:rsidRDefault="00F13B54" w:rsidP="00A26C1C">
            <w:pPr>
              <w:pStyle w:val="TableText"/>
            </w:pPr>
            <w:r>
              <w:t>Overall: 3.7  (2-6</w:t>
            </w:r>
            <w:r w:rsidRPr="002A5B38">
              <w:t>)</w:t>
            </w:r>
          </w:p>
          <w:p w:rsidR="00F13B54" w:rsidRPr="002A5B38" w:rsidRDefault="00F13B54" w:rsidP="00A26C1C">
            <w:pPr>
              <w:pStyle w:val="TableText"/>
            </w:pPr>
            <w:r>
              <w:t>G1:3.8 (2-6</w:t>
            </w:r>
            <w:r w:rsidRPr="002A5B38">
              <w:t>)</w:t>
            </w:r>
          </w:p>
          <w:p w:rsidR="00F13B54" w:rsidRDefault="00F13B54" w:rsidP="00A26C1C">
            <w:pPr>
              <w:pStyle w:val="TableText"/>
            </w:pPr>
            <w:r>
              <w:t>G2:3.6 (2-6</w:t>
            </w:r>
            <w:r w:rsidRPr="002A5B38">
              <w:t>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>T</w:t>
            </w:r>
            <w:r w:rsidRPr="002A5B38">
              <w:t>ympanometry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 w:rsidRPr="002A5B38">
              <w:t>OME for at least 3 months duration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Hx</w:t>
            </w:r>
            <w:r w:rsidRPr="002A5B38">
              <w:t xml:space="preserve"> of prior middle ea</w:t>
            </w:r>
            <w:r>
              <w:t xml:space="preserve">r surgery or PE tube insertion </w:t>
            </w:r>
            <w:r w:rsidRPr="002A5B38">
              <w:t>or previous pharyngeal s</w:t>
            </w:r>
            <w:r>
              <w:t>urgery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Cleft palate, Down syndrome</w:t>
            </w:r>
            <w:r w:rsidRPr="002A5B38">
              <w:t xml:space="preserve"> or other syndr</w:t>
            </w:r>
            <w:r>
              <w:t>ome involving the head and neck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M</w:t>
            </w:r>
            <w:r w:rsidRPr="002A5B38">
              <w:t>ental retardation or other known cognitive or psychiatric disorder</w:t>
            </w:r>
          </w:p>
        </w:tc>
        <w:tc>
          <w:tcPr>
            <w:tcW w:w="423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Baseline Tympanometry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Pr="002A5B38" w:rsidRDefault="00F13B54" w:rsidP="00A26C1C">
            <w:pPr>
              <w:pStyle w:val="TableText"/>
            </w:pPr>
            <w:r>
              <w:t>G1: 47</w:t>
            </w:r>
          </w:p>
          <w:p w:rsidR="00F13B54" w:rsidRDefault="00F13B54" w:rsidP="00A26C1C">
            <w:pPr>
              <w:pStyle w:val="TableText"/>
            </w:pPr>
            <w:r>
              <w:t>G2: 47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NR</w:t>
            </w: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 w:rsidRPr="002A5B38"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>
              <w:t>Yes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Comments</w:t>
            </w:r>
          </w:p>
          <w:p w:rsidR="00F13B54" w:rsidRPr="003520A7" w:rsidRDefault="00F13B54" w:rsidP="00A26C1C">
            <w:pPr>
              <w:pStyle w:val="TableText"/>
            </w:pPr>
            <w:r>
              <w:t>Total followup</w:t>
            </w:r>
            <w:r w:rsidRPr="002A5B38">
              <w:t xml:space="preserve"> was 12 mo</w:t>
            </w:r>
            <w:r>
              <w:t>nth</w:t>
            </w:r>
            <w:r w:rsidRPr="002A5B38">
              <w:t>s with post-op evaluations at day 10, 20, 30, 40, 60, and 80 and mo 3,4,6,8, and 12</w:t>
            </w:r>
          </w:p>
        </w:tc>
      </w:tr>
    </w:tbl>
    <w:p w:rsidR="00F13B54" w:rsidRDefault="00F13B54" w:rsidP="00F13B54">
      <w:pPr>
        <w:pStyle w:val="TableTitle"/>
      </w:pPr>
      <w:r>
        <w:br w:type="page"/>
      </w:r>
      <w:r>
        <w:lastRenderedPageBreak/>
        <w:t>Evidence Table 2. Populations (continued)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545"/>
        <w:gridCol w:w="3873"/>
        <w:gridCol w:w="4140"/>
        <w:gridCol w:w="3618"/>
      </w:tblGrid>
      <w:tr w:rsidR="00F13B54" w:rsidRPr="00411808" w:rsidTr="00A26C1C">
        <w:tc>
          <w:tcPr>
            <w:tcW w:w="1545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Author, Year</w:t>
            </w:r>
          </w:p>
        </w:tc>
        <w:tc>
          <w:tcPr>
            <w:tcW w:w="3873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HeaderRow"/>
            </w:pPr>
            <w:r w:rsidRPr="00411808">
              <w:t>Age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Criteria for Diagnosing OME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Inclusion Criteria</w:t>
            </w:r>
          </w:p>
          <w:p w:rsidR="00F13B54" w:rsidRPr="00411808" w:rsidRDefault="00F13B54" w:rsidP="00A26C1C">
            <w:pPr>
              <w:pStyle w:val="TableHeaderRow"/>
            </w:pPr>
            <w:r w:rsidRPr="00411808">
              <w:t>Exclusion Criteria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Tympanometry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Hearing or Hearing Loss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Other Baseline Symptoms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Relevant Comorbidities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Female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Baseline % Nonwhite</w:t>
            </w:r>
          </w:p>
        </w:tc>
        <w:tc>
          <w:tcPr>
            <w:tcW w:w="3618" w:type="dxa"/>
            <w:shd w:val="clear" w:color="auto" w:fill="auto"/>
            <w:vAlign w:val="bottom"/>
          </w:tcPr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Insured Status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Study Population Broadly Applicable?</w:t>
            </w:r>
          </w:p>
          <w:p w:rsidR="00F13B54" w:rsidRPr="00411808" w:rsidRDefault="00F13B54" w:rsidP="00A26C1C">
            <w:pPr>
              <w:pStyle w:val="TableLeftText"/>
              <w:rPr>
                <w:rFonts w:eastAsia="Times New Roman" w:cs="Times New Roman"/>
                <w:b/>
                <w:bCs/>
              </w:rPr>
            </w:pPr>
            <w:r w:rsidRPr="00411808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F13B54" w:rsidRPr="00411808" w:rsidTr="00A26C1C">
        <w:tc>
          <w:tcPr>
            <w:tcW w:w="1545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2A5B38">
              <w:t>Vlastos</w:t>
            </w:r>
            <w:r>
              <w:t xml:space="preserve"> et al.,</w:t>
            </w:r>
            <w:r w:rsidRPr="002A5B38">
              <w:t xml:space="preserve"> 2011</w:t>
            </w:r>
            <w:r w:rsidRPr="0085173E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  <w:tc>
          <w:tcPr>
            <w:tcW w:w="3873" w:type="dxa"/>
            <w:shd w:val="clear" w:color="auto" w:fill="auto"/>
          </w:tcPr>
          <w:p w:rsidR="00F13B54" w:rsidRDefault="00F13B54" w:rsidP="00A26C1C">
            <w:pPr>
              <w:pStyle w:val="TableText"/>
            </w:pPr>
            <w:r w:rsidRPr="004A21C5">
              <w:t>Age</w:t>
            </w:r>
          </w:p>
          <w:p w:rsidR="00F13B54" w:rsidRPr="004A21C5" w:rsidRDefault="00F13B54" w:rsidP="00A26C1C">
            <w:pPr>
              <w:pStyle w:val="TableText"/>
            </w:pPr>
            <w:r>
              <w:t>Mean years (range)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4.6 (3-7)</w:t>
            </w:r>
          </w:p>
          <w:p w:rsidR="00F13B54" w:rsidRDefault="00F13B54" w:rsidP="00A26C1C">
            <w:pPr>
              <w:pStyle w:val="TableText"/>
            </w:pPr>
            <w:r w:rsidRPr="002A5B38">
              <w:t>G2: 4.4 (3-7)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Criteria for Diagnosis</w:t>
            </w:r>
          </w:p>
          <w:p w:rsidR="00F13B54" w:rsidRDefault="00F13B54" w:rsidP="00A26C1C">
            <w:pPr>
              <w:pStyle w:val="TableText"/>
            </w:pPr>
            <w:r>
              <w:t xml:space="preserve">Otoscopy ,tympanometry, </w:t>
            </w:r>
            <w:r w:rsidRPr="002A5B38">
              <w:t xml:space="preserve"> </w:t>
            </w:r>
            <w:r>
              <w:t xml:space="preserve">pure tone </w:t>
            </w:r>
            <w:r w:rsidRPr="002A5B38">
              <w:t xml:space="preserve">audiometry </w:t>
            </w:r>
          </w:p>
          <w:p w:rsidR="00F13B54" w:rsidRPr="00C16119" w:rsidRDefault="00F13B54" w:rsidP="00A26C1C">
            <w:pPr>
              <w:pStyle w:val="TableText"/>
            </w:pPr>
            <w:r w:rsidRPr="00C16119">
              <w:t>Inclusion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rPr>
                <w:rFonts w:ascii="Calibri" w:hAnsi="Calibri"/>
              </w:rPr>
              <w:t>&gt;</w:t>
            </w:r>
            <w:r w:rsidRPr="002A5B38">
              <w:t xml:space="preserve"> 3</w:t>
            </w:r>
            <w:r>
              <w:t xml:space="preserve"> yrs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S</w:t>
            </w:r>
            <w:r w:rsidRPr="002A5B38">
              <w:t>cheduled adenoidectomy due to sleep-disordered breathing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resence of bilateral OME</w:t>
            </w:r>
            <w:r>
              <w:t xml:space="preserve"> (t</w:t>
            </w:r>
            <w:r w:rsidRPr="002A5B38">
              <w:t>he presence of an opaque or thickened tympanic mem- brane, air–fluid level, or bubbles, or the inability to visualise the incudostapedial join</w:t>
            </w:r>
            <w:r>
              <w:t>t, were considered signs of OME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T</w:t>
            </w:r>
            <w:r w:rsidRPr="002A5B38">
              <w:t>ype B tympanogram (compliance &lt;0.2ml).</w:t>
            </w:r>
          </w:p>
          <w:p w:rsidR="00F13B54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A</w:t>
            </w:r>
            <w:r w:rsidRPr="002A5B38">
              <w:t>udiogram with an air–bone gap of 20 dB or a hearing loss of 30 dB but no more than 55 dB in at least one frequency in both ears.</w:t>
            </w:r>
          </w:p>
          <w:p w:rsidR="00F13B54" w:rsidRPr="00C16119" w:rsidRDefault="00F13B54" w:rsidP="00A26C1C">
            <w:pPr>
              <w:pStyle w:val="TableText"/>
            </w:pPr>
            <w:r w:rsidRPr="00C16119">
              <w:t>Exclusion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N</w:t>
            </w:r>
            <w:r w:rsidRPr="002A5B38">
              <w:t>o signs of effusion at time of myringotomy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C</w:t>
            </w:r>
            <w:r w:rsidRPr="002A5B38">
              <w:t>hildren with chronic otitis media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S</w:t>
            </w:r>
            <w:r w:rsidRPr="002A5B38">
              <w:t>tructural changes (e.g. tympanic membrane retraction pockets, ossicular chain erosion or cholesteatoma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P</w:t>
            </w:r>
            <w:r w:rsidRPr="002A5B38">
              <w:t>revious ear surgery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L</w:t>
            </w:r>
            <w:r w:rsidRPr="002A5B38">
              <w:t>anguage delays</w:t>
            </w:r>
          </w:p>
          <w:p w:rsidR="00F13B54" w:rsidRPr="002A5B38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t>B</w:t>
            </w:r>
            <w:r w:rsidRPr="002A5B38">
              <w:t xml:space="preserve">ehavioural problems  </w:t>
            </w:r>
          </w:p>
          <w:p w:rsidR="00F13B54" w:rsidRPr="003520A7" w:rsidRDefault="00F13B54" w:rsidP="00F13B54">
            <w:pPr>
              <w:pStyle w:val="TableBullet"/>
              <w:numPr>
                <w:ilvl w:val="0"/>
                <w:numId w:val="19"/>
              </w:numPr>
            </w:pPr>
            <w:r>
              <w:lastRenderedPageBreak/>
              <w:t>S</w:t>
            </w:r>
            <w:r w:rsidRPr="002A5B38">
              <w:t>yndromes</w:t>
            </w:r>
          </w:p>
        </w:tc>
        <w:tc>
          <w:tcPr>
            <w:tcW w:w="4140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lastRenderedPageBreak/>
              <w:t>Baseline Tympanometry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Hearing or Hearing Loss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 xml:space="preserve">Mean hearing losses at 250, 500, 1000, 2000 and 4000 Hz (range) 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31.2 dB (21-39)</w:t>
            </w:r>
          </w:p>
          <w:p w:rsidR="00F13B54" w:rsidRDefault="00F13B54" w:rsidP="00A26C1C">
            <w:pPr>
              <w:pStyle w:val="TableText"/>
            </w:pPr>
            <w:r w:rsidRPr="002A5B38">
              <w:t>G2: 32.7 dB (27-37)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Other Baseline Symptoms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OM-6 Score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2.2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G2: 2.0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Obstructive Sleep Diso</w:t>
            </w:r>
            <w:r>
              <w:t>r</w:t>
            </w:r>
            <w:r w:rsidRPr="002A5B38">
              <w:t>ders -6 (OSD-6</w:t>
            </w:r>
            <w:r>
              <w:t>)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3.3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G2: 3.4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Ears with mucoid fluid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G1: 68%</w:t>
            </w:r>
          </w:p>
          <w:p w:rsidR="00F13B54" w:rsidRPr="002A5B38" w:rsidRDefault="00F13B54" w:rsidP="00A26C1C">
            <w:pPr>
              <w:pStyle w:val="TableText"/>
            </w:pPr>
            <w:r w:rsidRPr="002A5B38">
              <w:t>G2: 61%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Relevant Comorbidities</w:t>
            </w:r>
          </w:p>
          <w:p w:rsidR="00F13B54" w:rsidRDefault="00F13B54" w:rsidP="00A26C1C">
            <w:pPr>
              <w:pStyle w:val="TableText"/>
            </w:pPr>
            <w:r>
              <w:t>G</w:t>
            </w:r>
            <w:r w:rsidRPr="002A5B38">
              <w:t>enerally excluded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Female</w:t>
            </w:r>
          </w:p>
          <w:p w:rsidR="00F13B54" w:rsidRPr="002A5B38" w:rsidRDefault="00F13B54" w:rsidP="00A26C1C">
            <w:pPr>
              <w:pStyle w:val="TableText"/>
            </w:pPr>
            <w:r>
              <w:t>G1: 44</w:t>
            </w:r>
          </w:p>
          <w:p w:rsidR="00F13B54" w:rsidRDefault="00F13B54" w:rsidP="00A26C1C">
            <w:pPr>
              <w:pStyle w:val="TableText"/>
            </w:pPr>
            <w:r>
              <w:t>G2: 44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Baseline % Nonwhite</w:t>
            </w:r>
          </w:p>
          <w:p w:rsidR="00F13B54" w:rsidRPr="003520A7" w:rsidRDefault="00F13B54" w:rsidP="00A26C1C">
            <w:pPr>
              <w:pStyle w:val="TableText"/>
            </w:pPr>
            <w:r>
              <w:t>NR</w:t>
            </w:r>
          </w:p>
        </w:tc>
        <w:tc>
          <w:tcPr>
            <w:tcW w:w="3618" w:type="dxa"/>
            <w:shd w:val="clear" w:color="auto" w:fill="auto"/>
          </w:tcPr>
          <w:p w:rsidR="00F13B54" w:rsidRPr="00C16119" w:rsidRDefault="00F13B54" w:rsidP="00A26C1C">
            <w:pPr>
              <w:pStyle w:val="TableText"/>
            </w:pPr>
            <w:r>
              <w:t>Insured Status</w:t>
            </w:r>
          </w:p>
          <w:p w:rsidR="00F13B54" w:rsidRDefault="00F13B54" w:rsidP="00A26C1C">
            <w:pPr>
              <w:pStyle w:val="TableText"/>
            </w:pPr>
            <w:r>
              <w:t>NR</w:t>
            </w:r>
          </w:p>
          <w:p w:rsidR="00F13B54" w:rsidRDefault="00F13B54" w:rsidP="00A26C1C">
            <w:pPr>
              <w:pStyle w:val="TableText"/>
            </w:pPr>
          </w:p>
          <w:p w:rsidR="00F13B54" w:rsidRPr="00C16119" w:rsidRDefault="00F13B54" w:rsidP="00A26C1C">
            <w:pPr>
              <w:pStyle w:val="TableText"/>
            </w:pPr>
            <w:r>
              <w:t>Study Population Broadly Applicable?</w:t>
            </w:r>
          </w:p>
          <w:p w:rsidR="00F13B54" w:rsidRDefault="00F13B54" w:rsidP="00A26C1C">
            <w:pPr>
              <w:pStyle w:val="TableText"/>
            </w:pPr>
            <w:r>
              <w:t>Yes</w:t>
            </w:r>
          </w:p>
          <w:p w:rsidR="00F13B54" w:rsidRDefault="00F13B54" w:rsidP="00A26C1C">
            <w:pPr>
              <w:pStyle w:val="TableText"/>
            </w:pPr>
          </w:p>
          <w:p w:rsidR="00F13B54" w:rsidRPr="003520A7" w:rsidRDefault="00F13B54" w:rsidP="00A26C1C">
            <w:pPr>
              <w:pStyle w:val="TableText"/>
            </w:pPr>
          </w:p>
        </w:tc>
      </w:tr>
    </w:tbl>
    <w:p w:rsidR="00F13B54" w:rsidRDefault="00F13B54" w:rsidP="000D4E74">
      <w:pPr>
        <w:pStyle w:val="TableTitle"/>
      </w:pPr>
    </w:p>
    <w:sectPr w:rsidR="00F13B54" w:rsidSect="001A0EFA">
      <w:footerReference w:type="default" r:id="rId8"/>
      <w:pgSz w:w="15840" w:h="12240" w:orient="landscape"/>
      <w:pgMar w:top="1440" w:right="1440" w:bottom="1440" w:left="1440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2D" w:rsidRDefault="00140C2D" w:rsidP="004A4048">
      <w:r>
        <w:separator/>
      </w:r>
    </w:p>
  </w:endnote>
  <w:endnote w:type="continuationSeparator" w:id="0">
    <w:p w:rsidR="00140C2D" w:rsidRDefault="00140C2D" w:rsidP="004A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FA" w:rsidRDefault="001A0EFA">
    <w:pPr>
      <w:pStyle w:val="Footer"/>
      <w:jc w:val="center"/>
    </w:pPr>
    <w:r>
      <w:t>C-</w:t>
    </w:r>
    <w:sdt>
      <w:sdtPr>
        <w:id w:val="22676958"/>
        <w:docPartObj>
          <w:docPartGallery w:val="Page Numbers (Bottom of Page)"/>
          <w:docPartUnique/>
        </w:docPartObj>
      </w:sdtPr>
      <w:sdtContent>
        <w:fldSimple w:instr=" PAGE   \* MERGEFORMAT ">
          <w:r w:rsidR="00966CBA">
            <w:rPr>
              <w:noProof/>
            </w:rPr>
            <w:t>34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2D" w:rsidRDefault="00140C2D" w:rsidP="004A4048">
      <w:r>
        <w:separator/>
      </w:r>
    </w:p>
  </w:footnote>
  <w:footnote w:type="continuationSeparator" w:id="0">
    <w:p w:rsidR="00140C2D" w:rsidRDefault="00140C2D" w:rsidP="004A4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BDD"/>
    <w:multiLevelType w:val="multilevel"/>
    <w:tmpl w:val="4CE6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13DA"/>
    <w:multiLevelType w:val="hybridMultilevel"/>
    <w:tmpl w:val="2C2CFE24"/>
    <w:lvl w:ilvl="0" w:tplc="49D026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44D8"/>
    <w:multiLevelType w:val="hybridMultilevel"/>
    <w:tmpl w:val="23A48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109F"/>
    <w:multiLevelType w:val="multilevel"/>
    <w:tmpl w:val="8D5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21E83"/>
    <w:multiLevelType w:val="hybridMultilevel"/>
    <w:tmpl w:val="87F89D22"/>
    <w:lvl w:ilvl="0" w:tplc="0409000F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2767"/>
    <w:multiLevelType w:val="multilevel"/>
    <w:tmpl w:val="850A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B009D"/>
    <w:multiLevelType w:val="multilevel"/>
    <w:tmpl w:val="703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B51F7"/>
    <w:multiLevelType w:val="hybridMultilevel"/>
    <w:tmpl w:val="8B9C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66115"/>
    <w:multiLevelType w:val="multilevel"/>
    <w:tmpl w:val="64C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E1548"/>
    <w:multiLevelType w:val="hybridMultilevel"/>
    <w:tmpl w:val="AA702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D403EF"/>
    <w:multiLevelType w:val="hybridMultilevel"/>
    <w:tmpl w:val="3BCED56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3F2C455C"/>
    <w:multiLevelType w:val="hybridMultilevel"/>
    <w:tmpl w:val="0540E344"/>
    <w:lvl w:ilvl="0" w:tplc="413C3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E1A7F"/>
    <w:multiLevelType w:val="multilevel"/>
    <w:tmpl w:val="7B52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610C4"/>
    <w:multiLevelType w:val="hybridMultilevel"/>
    <w:tmpl w:val="08D4F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5133BC"/>
    <w:multiLevelType w:val="hybridMultilevel"/>
    <w:tmpl w:val="C98CBE6C"/>
    <w:lvl w:ilvl="0" w:tplc="04090001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786EA0"/>
    <w:multiLevelType w:val="multilevel"/>
    <w:tmpl w:val="7E66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F6083"/>
    <w:multiLevelType w:val="hybridMultilevel"/>
    <w:tmpl w:val="37B81FDE"/>
    <w:lvl w:ilvl="0" w:tplc="04090003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A784E"/>
    <w:multiLevelType w:val="hybridMultilevel"/>
    <w:tmpl w:val="51860420"/>
    <w:lvl w:ilvl="0" w:tplc="95183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A717E"/>
    <w:multiLevelType w:val="hybridMultilevel"/>
    <w:tmpl w:val="688C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C0ECA"/>
    <w:multiLevelType w:val="hybridMultilevel"/>
    <w:tmpl w:val="0046DF5E"/>
    <w:lvl w:ilvl="0" w:tplc="3A10D3F0">
      <w:start w:val="1"/>
      <w:numFmt w:val="bullet"/>
      <w:pStyle w:val="Bullettex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D777B4D"/>
    <w:multiLevelType w:val="multilevel"/>
    <w:tmpl w:val="F99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E40E9"/>
    <w:multiLevelType w:val="multilevel"/>
    <w:tmpl w:val="F9DC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A61CE"/>
    <w:multiLevelType w:val="multilevel"/>
    <w:tmpl w:val="B25E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0366AF"/>
    <w:multiLevelType w:val="hybridMultilevel"/>
    <w:tmpl w:val="26DE7B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6B684021"/>
    <w:multiLevelType w:val="hybridMultilevel"/>
    <w:tmpl w:val="F6BEA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40637"/>
    <w:multiLevelType w:val="multilevel"/>
    <w:tmpl w:val="4CE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5201E0"/>
    <w:multiLevelType w:val="multilevel"/>
    <w:tmpl w:val="5D2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E775C"/>
    <w:multiLevelType w:val="hybridMultilevel"/>
    <w:tmpl w:val="D40C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534D9"/>
    <w:multiLevelType w:val="multilevel"/>
    <w:tmpl w:val="31EE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95283"/>
    <w:multiLevelType w:val="hybridMultilevel"/>
    <w:tmpl w:val="97EA8240"/>
    <w:lvl w:ilvl="0" w:tplc="8EDAB94E">
      <w:start w:val="4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79CF5BDF"/>
    <w:multiLevelType w:val="multilevel"/>
    <w:tmpl w:val="8D0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B1BF0"/>
    <w:multiLevelType w:val="multilevel"/>
    <w:tmpl w:val="F41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6E1C67"/>
    <w:multiLevelType w:val="multilevel"/>
    <w:tmpl w:val="8E5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0"/>
  </w:num>
  <w:num w:numId="5">
    <w:abstractNumId w:val="2"/>
  </w:num>
  <w:num w:numId="6">
    <w:abstractNumId w:val="17"/>
  </w:num>
  <w:num w:numId="7">
    <w:abstractNumId w:val="15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25"/>
  </w:num>
  <w:num w:numId="15">
    <w:abstractNumId w:val="31"/>
  </w:num>
  <w:num w:numId="16">
    <w:abstractNumId w:val="26"/>
  </w:num>
  <w:num w:numId="17">
    <w:abstractNumId w:val="3"/>
  </w:num>
  <w:num w:numId="18">
    <w:abstractNumId w:val="20"/>
  </w:num>
  <w:num w:numId="19">
    <w:abstractNumId w:val="12"/>
  </w:num>
  <w:num w:numId="20">
    <w:abstractNumId w:val="18"/>
  </w:num>
  <w:num w:numId="21">
    <w:abstractNumId w:val="1"/>
  </w:num>
  <w:num w:numId="22">
    <w:abstractNumId w:val="24"/>
  </w:num>
  <w:num w:numId="23">
    <w:abstractNumId w:val="11"/>
  </w:num>
  <w:num w:numId="24">
    <w:abstractNumId w:val="29"/>
  </w:num>
  <w:num w:numId="25">
    <w:abstractNumId w:val="34"/>
  </w:num>
  <w:num w:numId="26">
    <w:abstractNumId w:val="33"/>
  </w:num>
  <w:num w:numId="27">
    <w:abstractNumId w:val="23"/>
  </w:num>
  <w:num w:numId="28">
    <w:abstractNumId w:val="0"/>
  </w:num>
  <w:num w:numId="29">
    <w:abstractNumId w:val="22"/>
  </w:num>
  <w:num w:numId="30">
    <w:abstractNumId w:val="6"/>
  </w:num>
  <w:num w:numId="31">
    <w:abstractNumId w:val="9"/>
  </w:num>
  <w:num w:numId="32">
    <w:abstractNumId w:val="4"/>
  </w:num>
  <w:num w:numId="33">
    <w:abstractNumId w:val="32"/>
  </w:num>
  <w:num w:numId="34">
    <w:abstractNumId w:val="7"/>
  </w:num>
  <w:num w:numId="35">
    <w:abstractNumId w:val="30"/>
  </w:num>
  <w:num w:numId="36">
    <w:abstractNumId w:val="27"/>
  </w:num>
  <w:num w:numId="37">
    <w:abstractNumId w:val="16"/>
  </w:num>
  <w:num w:numId="38">
    <w:abstractNumId w:val="21"/>
  </w:num>
  <w:num w:numId="39">
    <w:abstractNumId w:val="13"/>
  </w:num>
  <w:num w:numId="40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tsfx2st9nzv9d1ers27xer59t022ddds2wpf&quot;&gt;1-18 + CAM+ 8-14 2012 &lt;record-ids&gt;&lt;item&gt;10&lt;/item&gt;&lt;item&gt;20&lt;/item&gt;&lt;item&gt;26&lt;/item&gt;&lt;item&gt;29&lt;/item&gt;&lt;item&gt;36&lt;/item&gt;&lt;item&gt;40&lt;/item&gt;&lt;item&gt;44&lt;/item&gt;&lt;item&gt;46&lt;/item&gt;&lt;item&gt;69&lt;/item&gt;&lt;item&gt;72&lt;/item&gt;&lt;item&gt;96&lt;/item&gt;&lt;item&gt;107&lt;/item&gt;&lt;item&gt;109&lt;/item&gt;&lt;item&gt;119&lt;/item&gt;&lt;item&gt;144&lt;/item&gt;&lt;item&gt;148&lt;/item&gt;&lt;item&gt;153&lt;/item&gt;&lt;item&gt;159&lt;/item&gt;&lt;item&gt;199&lt;/item&gt;&lt;item&gt;203&lt;/item&gt;&lt;item&gt;209&lt;/item&gt;&lt;item&gt;237&lt;/item&gt;&lt;item&gt;254&lt;/item&gt;&lt;item&gt;257&lt;/item&gt;&lt;item&gt;265&lt;/item&gt;&lt;item&gt;319&lt;/item&gt;&lt;item&gt;320&lt;/item&gt;&lt;item&gt;341&lt;/item&gt;&lt;item&gt;356&lt;/item&gt;&lt;item&gt;358&lt;/item&gt;&lt;item&gt;361&lt;/item&gt;&lt;item&gt;368&lt;/item&gt;&lt;item&gt;382&lt;/item&gt;&lt;item&gt;384&lt;/item&gt;&lt;item&gt;385&lt;/item&gt;&lt;item&gt;423&lt;/item&gt;&lt;item&gt;445&lt;/item&gt;&lt;item&gt;461&lt;/item&gt;&lt;item&gt;478&lt;/item&gt;&lt;item&gt;481&lt;/item&gt;&lt;item&gt;523&lt;/item&gt;&lt;item&gt;535&lt;/item&gt;&lt;item&gt;546&lt;/item&gt;&lt;item&gt;547&lt;/item&gt;&lt;item&gt;549&lt;/item&gt;&lt;item&gt;552&lt;/item&gt;&lt;item&gt;571&lt;/item&gt;&lt;item&gt;573&lt;/item&gt;&lt;item&gt;582&lt;/item&gt;&lt;item&gt;594&lt;/item&gt;&lt;item&gt;597&lt;/item&gt;&lt;item&gt;604&lt;/item&gt;&lt;item&gt;609&lt;/item&gt;&lt;item&gt;610&lt;/item&gt;&lt;item&gt;611&lt;/item&gt;&lt;item&gt;619&lt;/item&gt;&lt;item&gt;624&lt;/item&gt;&lt;item&gt;629&lt;/item&gt;&lt;item&gt;631&lt;/item&gt;&lt;item&gt;645&lt;/item&gt;&lt;item&gt;653&lt;/item&gt;&lt;item&gt;658&lt;/item&gt;&lt;item&gt;659&lt;/item&gt;&lt;item&gt;664&lt;/item&gt;&lt;item&gt;682&lt;/item&gt;&lt;item&gt;684&lt;/item&gt;&lt;item&gt;685&lt;/item&gt;&lt;item&gt;700&lt;/item&gt;&lt;item&gt;732&lt;/item&gt;&lt;item&gt;753&lt;/item&gt;&lt;item&gt;757&lt;/item&gt;&lt;item&gt;758&lt;/item&gt;&lt;item&gt;764&lt;/item&gt;&lt;item&gt;767&lt;/item&gt;&lt;item&gt;795&lt;/item&gt;&lt;item&gt;845&lt;/item&gt;&lt;item&gt;941&lt;/item&gt;&lt;item&gt;975&lt;/item&gt;&lt;item&gt;1029&lt;/item&gt;&lt;item&gt;1032&lt;/item&gt;&lt;item&gt;1088&lt;/item&gt;&lt;item&gt;1113&lt;/item&gt;&lt;item&gt;1153&lt;/item&gt;&lt;item&gt;1184&lt;/item&gt;&lt;item&gt;1185&lt;/item&gt;&lt;item&gt;1188&lt;/item&gt;&lt;item&gt;1221&lt;/item&gt;&lt;item&gt;1223&lt;/item&gt;&lt;item&gt;1240&lt;/item&gt;&lt;item&gt;1254&lt;/item&gt;&lt;item&gt;1266&lt;/item&gt;&lt;item&gt;1273&lt;/item&gt;&lt;item&gt;1336&lt;/item&gt;&lt;item&gt;1348&lt;/item&gt;&lt;item&gt;2713&lt;/item&gt;&lt;item&gt;2946&lt;/item&gt;&lt;item&gt;3217&lt;/item&gt;&lt;item&gt;3249&lt;/item&gt;&lt;item&gt;3375&lt;/item&gt;&lt;item&gt;3484&lt;/item&gt;&lt;item&gt;3486&lt;/item&gt;&lt;item&gt;3508&lt;/item&gt;&lt;item&gt;3520&lt;/item&gt;&lt;item&gt;3533&lt;/item&gt;&lt;item&gt;3975&lt;/item&gt;&lt;item&gt;4301&lt;/item&gt;&lt;item&gt;4322&lt;/item&gt;&lt;item&gt;4349&lt;/item&gt;&lt;item&gt;5069&lt;/item&gt;&lt;item&gt;5071&lt;/item&gt;&lt;item&gt;5072&lt;/item&gt;&lt;item&gt;5073&lt;/item&gt;&lt;item&gt;5074&lt;/item&gt;&lt;item&gt;5075&lt;/item&gt;&lt;item&gt;5083&lt;/item&gt;&lt;item&gt;5085&lt;/item&gt;&lt;item&gt;5093&lt;/item&gt;&lt;item&gt;5094&lt;/item&gt;&lt;item&gt;5096&lt;/item&gt;&lt;item&gt;5097&lt;/item&gt;&lt;item&gt;5098&lt;/item&gt;&lt;item&gt;5099&lt;/item&gt;&lt;item&gt;5102&lt;/item&gt;&lt;item&gt;5386&lt;/item&gt;&lt;item&gt;5418&lt;/item&gt;&lt;item&gt;5616&lt;/item&gt;&lt;item&gt;5621&lt;/item&gt;&lt;item&gt;5895&lt;/item&gt;&lt;item&gt;5896&lt;/item&gt;&lt;item&gt;6088&lt;/item&gt;&lt;item&gt;6251&lt;/item&gt;&lt;item&gt;6759&lt;/item&gt;&lt;item&gt;7092&lt;/item&gt;&lt;item&gt;7168&lt;/item&gt;&lt;item&gt;7339&lt;/item&gt;&lt;item&gt;7381&lt;/item&gt;&lt;item&gt;7444&lt;/item&gt;&lt;item&gt;7449&lt;/item&gt;&lt;item&gt;7450&lt;/item&gt;&lt;item&gt;7452&lt;/item&gt;&lt;item&gt;7453&lt;/item&gt;&lt;item&gt;7455&lt;/item&gt;&lt;item&gt;7458&lt;/item&gt;&lt;item&gt;7459&lt;/item&gt;&lt;item&gt;7461&lt;/item&gt;&lt;item&gt;7463&lt;/item&gt;&lt;item&gt;7464&lt;/item&gt;&lt;item&gt;7465&lt;/item&gt;&lt;item&gt;7467&lt;/item&gt;&lt;item&gt;7520&lt;/item&gt;&lt;item&gt;7630&lt;/item&gt;&lt;item&gt;7632&lt;/item&gt;&lt;item&gt;7664&lt;/item&gt;&lt;item&gt;7671&lt;/item&gt;&lt;item&gt;7673&lt;/item&gt;&lt;item&gt;7674&lt;/item&gt;&lt;item&gt;7675&lt;/item&gt;&lt;item&gt;7676&lt;/item&gt;&lt;item&gt;7677&lt;/item&gt;&lt;item&gt;7678&lt;/item&gt;&lt;item&gt;7679&lt;/item&gt;&lt;item&gt;7680&lt;/item&gt;&lt;item&gt;7681&lt;/item&gt;&lt;/record-ids&gt;&lt;/item&gt;&lt;/Libraries&gt;"/>
  </w:docVars>
  <w:rsids>
    <w:rsidRoot w:val="00947EBE"/>
    <w:rsid w:val="00005FF9"/>
    <w:rsid w:val="0000623A"/>
    <w:rsid w:val="00010EEA"/>
    <w:rsid w:val="00011399"/>
    <w:rsid w:val="0001410D"/>
    <w:rsid w:val="000163E8"/>
    <w:rsid w:val="000168ED"/>
    <w:rsid w:val="00016A9A"/>
    <w:rsid w:val="00017575"/>
    <w:rsid w:val="00017BE0"/>
    <w:rsid w:val="00020483"/>
    <w:rsid w:val="00021DB8"/>
    <w:rsid w:val="00022B92"/>
    <w:rsid w:val="00022F1D"/>
    <w:rsid w:val="00024C51"/>
    <w:rsid w:val="00025BB7"/>
    <w:rsid w:val="00025F31"/>
    <w:rsid w:val="000264B8"/>
    <w:rsid w:val="00027092"/>
    <w:rsid w:val="000273DC"/>
    <w:rsid w:val="000304AC"/>
    <w:rsid w:val="00030BB5"/>
    <w:rsid w:val="00033CEC"/>
    <w:rsid w:val="00034990"/>
    <w:rsid w:val="0003561D"/>
    <w:rsid w:val="00043F02"/>
    <w:rsid w:val="000443FF"/>
    <w:rsid w:val="00044B82"/>
    <w:rsid w:val="00045207"/>
    <w:rsid w:val="000477CA"/>
    <w:rsid w:val="000502BF"/>
    <w:rsid w:val="00050835"/>
    <w:rsid w:val="000531FE"/>
    <w:rsid w:val="000537BB"/>
    <w:rsid w:val="00054F3B"/>
    <w:rsid w:val="000552D3"/>
    <w:rsid w:val="00057CC2"/>
    <w:rsid w:val="00060C1C"/>
    <w:rsid w:val="000621D2"/>
    <w:rsid w:val="00062897"/>
    <w:rsid w:val="000631BC"/>
    <w:rsid w:val="0006371E"/>
    <w:rsid w:val="000655FB"/>
    <w:rsid w:val="00071344"/>
    <w:rsid w:val="000719AE"/>
    <w:rsid w:val="00072E64"/>
    <w:rsid w:val="000741FF"/>
    <w:rsid w:val="00075783"/>
    <w:rsid w:val="00075A7C"/>
    <w:rsid w:val="0007627B"/>
    <w:rsid w:val="000762E4"/>
    <w:rsid w:val="000808D7"/>
    <w:rsid w:val="00081BAA"/>
    <w:rsid w:val="00083112"/>
    <w:rsid w:val="00084300"/>
    <w:rsid w:val="00084483"/>
    <w:rsid w:val="00086681"/>
    <w:rsid w:val="00087926"/>
    <w:rsid w:val="00091F8A"/>
    <w:rsid w:val="00092956"/>
    <w:rsid w:val="00092D91"/>
    <w:rsid w:val="0009387D"/>
    <w:rsid w:val="00096957"/>
    <w:rsid w:val="00097E9B"/>
    <w:rsid w:val="000A0541"/>
    <w:rsid w:val="000A0A5B"/>
    <w:rsid w:val="000A121C"/>
    <w:rsid w:val="000A1AE8"/>
    <w:rsid w:val="000A1BC6"/>
    <w:rsid w:val="000A2E0E"/>
    <w:rsid w:val="000A30D1"/>
    <w:rsid w:val="000A3D3E"/>
    <w:rsid w:val="000A3EFC"/>
    <w:rsid w:val="000A5648"/>
    <w:rsid w:val="000A7EBA"/>
    <w:rsid w:val="000B0226"/>
    <w:rsid w:val="000B1FD1"/>
    <w:rsid w:val="000B2AEC"/>
    <w:rsid w:val="000B4938"/>
    <w:rsid w:val="000B4EE3"/>
    <w:rsid w:val="000C090F"/>
    <w:rsid w:val="000C0E66"/>
    <w:rsid w:val="000C309D"/>
    <w:rsid w:val="000C45F5"/>
    <w:rsid w:val="000C49CB"/>
    <w:rsid w:val="000C51F6"/>
    <w:rsid w:val="000C7117"/>
    <w:rsid w:val="000C728F"/>
    <w:rsid w:val="000C795D"/>
    <w:rsid w:val="000D1105"/>
    <w:rsid w:val="000D1C39"/>
    <w:rsid w:val="000D1FFB"/>
    <w:rsid w:val="000D2435"/>
    <w:rsid w:val="000D3E5C"/>
    <w:rsid w:val="000D49AB"/>
    <w:rsid w:val="000D4E74"/>
    <w:rsid w:val="000D4F80"/>
    <w:rsid w:val="000D4FC0"/>
    <w:rsid w:val="000D54D4"/>
    <w:rsid w:val="000D5A2D"/>
    <w:rsid w:val="000D6F06"/>
    <w:rsid w:val="000D746E"/>
    <w:rsid w:val="000D7A8E"/>
    <w:rsid w:val="000E03EC"/>
    <w:rsid w:val="000E09C1"/>
    <w:rsid w:val="000E0D1D"/>
    <w:rsid w:val="000E1396"/>
    <w:rsid w:val="000E1520"/>
    <w:rsid w:val="000E1582"/>
    <w:rsid w:val="000E161D"/>
    <w:rsid w:val="000E4AF6"/>
    <w:rsid w:val="000E5357"/>
    <w:rsid w:val="000E5443"/>
    <w:rsid w:val="000E6204"/>
    <w:rsid w:val="000E7393"/>
    <w:rsid w:val="000F087D"/>
    <w:rsid w:val="000F1123"/>
    <w:rsid w:val="000F11F0"/>
    <w:rsid w:val="000F2719"/>
    <w:rsid w:val="000F2CBC"/>
    <w:rsid w:val="000F6016"/>
    <w:rsid w:val="000F6AA2"/>
    <w:rsid w:val="000F78EA"/>
    <w:rsid w:val="000F7EA6"/>
    <w:rsid w:val="001007A0"/>
    <w:rsid w:val="0010168B"/>
    <w:rsid w:val="00102BBD"/>
    <w:rsid w:val="001030CE"/>
    <w:rsid w:val="00103A29"/>
    <w:rsid w:val="001041DC"/>
    <w:rsid w:val="001053A1"/>
    <w:rsid w:val="00106A36"/>
    <w:rsid w:val="00106F40"/>
    <w:rsid w:val="00107D78"/>
    <w:rsid w:val="00110408"/>
    <w:rsid w:val="0011111C"/>
    <w:rsid w:val="0011118C"/>
    <w:rsid w:val="0011133F"/>
    <w:rsid w:val="00112B4F"/>
    <w:rsid w:val="00112EDB"/>
    <w:rsid w:val="001137F7"/>
    <w:rsid w:val="00113A1A"/>
    <w:rsid w:val="00114416"/>
    <w:rsid w:val="00114464"/>
    <w:rsid w:val="00114CB5"/>
    <w:rsid w:val="00115022"/>
    <w:rsid w:val="00115B81"/>
    <w:rsid w:val="00116FF1"/>
    <w:rsid w:val="001209DF"/>
    <w:rsid w:val="00122DF2"/>
    <w:rsid w:val="00123425"/>
    <w:rsid w:val="0012499F"/>
    <w:rsid w:val="00124C9E"/>
    <w:rsid w:val="001271F2"/>
    <w:rsid w:val="001309BF"/>
    <w:rsid w:val="00131055"/>
    <w:rsid w:val="001317F0"/>
    <w:rsid w:val="00131916"/>
    <w:rsid w:val="00131973"/>
    <w:rsid w:val="00131CEE"/>
    <w:rsid w:val="001332A0"/>
    <w:rsid w:val="0013401F"/>
    <w:rsid w:val="001342EF"/>
    <w:rsid w:val="0013477F"/>
    <w:rsid w:val="00135456"/>
    <w:rsid w:val="00135BC3"/>
    <w:rsid w:val="00137352"/>
    <w:rsid w:val="00137A3D"/>
    <w:rsid w:val="001402DE"/>
    <w:rsid w:val="00140874"/>
    <w:rsid w:val="00140C2D"/>
    <w:rsid w:val="00143D54"/>
    <w:rsid w:val="001447C7"/>
    <w:rsid w:val="00144C45"/>
    <w:rsid w:val="001453E8"/>
    <w:rsid w:val="00145D58"/>
    <w:rsid w:val="00150938"/>
    <w:rsid w:val="0015190B"/>
    <w:rsid w:val="0015252C"/>
    <w:rsid w:val="001549A5"/>
    <w:rsid w:val="00154E9A"/>
    <w:rsid w:val="001550DF"/>
    <w:rsid w:val="00155D57"/>
    <w:rsid w:val="0015640E"/>
    <w:rsid w:val="00160120"/>
    <w:rsid w:val="00160479"/>
    <w:rsid w:val="00161EFB"/>
    <w:rsid w:val="00163A6C"/>
    <w:rsid w:val="001658F6"/>
    <w:rsid w:val="001675A5"/>
    <w:rsid w:val="001678A3"/>
    <w:rsid w:val="00167F18"/>
    <w:rsid w:val="001704DF"/>
    <w:rsid w:val="001713E3"/>
    <w:rsid w:val="001739C5"/>
    <w:rsid w:val="0017517A"/>
    <w:rsid w:val="00177FFD"/>
    <w:rsid w:val="001802C6"/>
    <w:rsid w:val="001808A6"/>
    <w:rsid w:val="00181DA6"/>
    <w:rsid w:val="00183749"/>
    <w:rsid w:val="00183E70"/>
    <w:rsid w:val="00185DEC"/>
    <w:rsid w:val="001870D7"/>
    <w:rsid w:val="00187218"/>
    <w:rsid w:val="001875CF"/>
    <w:rsid w:val="001937F7"/>
    <w:rsid w:val="00194030"/>
    <w:rsid w:val="00195B0C"/>
    <w:rsid w:val="00196F90"/>
    <w:rsid w:val="001971AA"/>
    <w:rsid w:val="001A0C1B"/>
    <w:rsid w:val="001A0EFA"/>
    <w:rsid w:val="001A2A6C"/>
    <w:rsid w:val="001A2D69"/>
    <w:rsid w:val="001A3872"/>
    <w:rsid w:val="001A4970"/>
    <w:rsid w:val="001A4B9F"/>
    <w:rsid w:val="001A6828"/>
    <w:rsid w:val="001B07B5"/>
    <w:rsid w:val="001B22B1"/>
    <w:rsid w:val="001B3660"/>
    <w:rsid w:val="001B3935"/>
    <w:rsid w:val="001B5B61"/>
    <w:rsid w:val="001B5E4B"/>
    <w:rsid w:val="001B6C4A"/>
    <w:rsid w:val="001B6C60"/>
    <w:rsid w:val="001B7640"/>
    <w:rsid w:val="001C068F"/>
    <w:rsid w:val="001C1086"/>
    <w:rsid w:val="001C16AB"/>
    <w:rsid w:val="001C1847"/>
    <w:rsid w:val="001C2930"/>
    <w:rsid w:val="001C2C27"/>
    <w:rsid w:val="001C4D01"/>
    <w:rsid w:val="001C5344"/>
    <w:rsid w:val="001C6A07"/>
    <w:rsid w:val="001C7269"/>
    <w:rsid w:val="001C7358"/>
    <w:rsid w:val="001D1FEA"/>
    <w:rsid w:val="001D23F4"/>
    <w:rsid w:val="001D5473"/>
    <w:rsid w:val="001D7527"/>
    <w:rsid w:val="001D7680"/>
    <w:rsid w:val="001E10EC"/>
    <w:rsid w:val="001E2EAD"/>
    <w:rsid w:val="001E71FE"/>
    <w:rsid w:val="001E7D5F"/>
    <w:rsid w:val="001E7F80"/>
    <w:rsid w:val="001F0772"/>
    <w:rsid w:val="001F0F72"/>
    <w:rsid w:val="001F2181"/>
    <w:rsid w:val="001F25CB"/>
    <w:rsid w:val="001F3395"/>
    <w:rsid w:val="001F3BF8"/>
    <w:rsid w:val="001F5D98"/>
    <w:rsid w:val="001F5F03"/>
    <w:rsid w:val="001F6296"/>
    <w:rsid w:val="001F63FA"/>
    <w:rsid w:val="001F69D8"/>
    <w:rsid w:val="001F712C"/>
    <w:rsid w:val="001F746C"/>
    <w:rsid w:val="001F7F40"/>
    <w:rsid w:val="0020010B"/>
    <w:rsid w:val="00203522"/>
    <w:rsid w:val="00204719"/>
    <w:rsid w:val="00204E4F"/>
    <w:rsid w:val="002053E7"/>
    <w:rsid w:val="002054C1"/>
    <w:rsid w:val="002056EF"/>
    <w:rsid w:val="00205C8F"/>
    <w:rsid w:val="00210CA9"/>
    <w:rsid w:val="00210E36"/>
    <w:rsid w:val="0021109E"/>
    <w:rsid w:val="00211244"/>
    <w:rsid w:val="002112AA"/>
    <w:rsid w:val="00212489"/>
    <w:rsid w:val="00212F54"/>
    <w:rsid w:val="002132BC"/>
    <w:rsid w:val="00215BB6"/>
    <w:rsid w:val="002162D7"/>
    <w:rsid w:val="00217B38"/>
    <w:rsid w:val="00217F21"/>
    <w:rsid w:val="00220CB4"/>
    <w:rsid w:val="00221A74"/>
    <w:rsid w:val="00222B29"/>
    <w:rsid w:val="00223752"/>
    <w:rsid w:val="002246D4"/>
    <w:rsid w:val="00225906"/>
    <w:rsid w:val="00225A62"/>
    <w:rsid w:val="00225F40"/>
    <w:rsid w:val="002278EF"/>
    <w:rsid w:val="002305E0"/>
    <w:rsid w:val="00230989"/>
    <w:rsid w:val="00230C31"/>
    <w:rsid w:val="0023233D"/>
    <w:rsid w:val="002326C3"/>
    <w:rsid w:val="00232EB8"/>
    <w:rsid w:val="0023305D"/>
    <w:rsid w:val="0023539C"/>
    <w:rsid w:val="00235A8D"/>
    <w:rsid w:val="00237D47"/>
    <w:rsid w:val="00237FDF"/>
    <w:rsid w:val="0024274F"/>
    <w:rsid w:val="00243019"/>
    <w:rsid w:val="00243B93"/>
    <w:rsid w:val="00244AAA"/>
    <w:rsid w:val="00244E91"/>
    <w:rsid w:val="00244F8D"/>
    <w:rsid w:val="0024708B"/>
    <w:rsid w:val="0024764A"/>
    <w:rsid w:val="00250D6E"/>
    <w:rsid w:val="0025164C"/>
    <w:rsid w:val="0025164D"/>
    <w:rsid w:val="00252416"/>
    <w:rsid w:val="00252ED7"/>
    <w:rsid w:val="0025330B"/>
    <w:rsid w:val="0025391E"/>
    <w:rsid w:val="00254615"/>
    <w:rsid w:val="00254DF1"/>
    <w:rsid w:val="00255346"/>
    <w:rsid w:val="002564CC"/>
    <w:rsid w:val="00260640"/>
    <w:rsid w:val="0026260E"/>
    <w:rsid w:val="00262A45"/>
    <w:rsid w:val="00263BB2"/>
    <w:rsid w:val="00265CA9"/>
    <w:rsid w:val="00265CF7"/>
    <w:rsid w:val="002675E7"/>
    <w:rsid w:val="002679F5"/>
    <w:rsid w:val="002700C4"/>
    <w:rsid w:val="00270DC5"/>
    <w:rsid w:val="002718BC"/>
    <w:rsid w:val="002733FA"/>
    <w:rsid w:val="00274359"/>
    <w:rsid w:val="002750E9"/>
    <w:rsid w:val="002751A3"/>
    <w:rsid w:val="00275646"/>
    <w:rsid w:val="002772E7"/>
    <w:rsid w:val="00277449"/>
    <w:rsid w:val="00277968"/>
    <w:rsid w:val="002824FE"/>
    <w:rsid w:val="00284124"/>
    <w:rsid w:val="002847D4"/>
    <w:rsid w:val="00285580"/>
    <w:rsid w:val="00286335"/>
    <w:rsid w:val="002863D9"/>
    <w:rsid w:val="00286AE4"/>
    <w:rsid w:val="00286D02"/>
    <w:rsid w:val="00287DBD"/>
    <w:rsid w:val="002958FA"/>
    <w:rsid w:val="002967C3"/>
    <w:rsid w:val="00297032"/>
    <w:rsid w:val="00297CC5"/>
    <w:rsid w:val="002A0C7C"/>
    <w:rsid w:val="002A17CC"/>
    <w:rsid w:val="002A1F85"/>
    <w:rsid w:val="002A208E"/>
    <w:rsid w:val="002A4849"/>
    <w:rsid w:val="002A4CE5"/>
    <w:rsid w:val="002A5660"/>
    <w:rsid w:val="002A611E"/>
    <w:rsid w:val="002A66C9"/>
    <w:rsid w:val="002A69BB"/>
    <w:rsid w:val="002A757B"/>
    <w:rsid w:val="002A7C49"/>
    <w:rsid w:val="002B1079"/>
    <w:rsid w:val="002B36F2"/>
    <w:rsid w:val="002B3812"/>
    <w:rsid w:val="002B456D"/>
    <w:rsid w:val="002B59DD"/>
    <w:rsid w:val="002B64BB"/>
    <w:rsid w:val="002B682F"/>
    <w:rsid w:val="002B73FE"/>
    <w:rsid w:val="002C00AE"/>
    <w:rsid w:val="002C0305"/>
    <w:rsid w:val="002C1625"/>
    <w:rsid w:val="002C1F80"/>
    <w:rsid w:val="002C2CCB"/>
    <w:rsid w:val="002C2DD9"/>
    <w:rsid w:val="002C3529"/>
    <w:rsid w:val="002C479F"/>
    <w:rsid w:val="002C5DD2"/>
    <w:rsid w:val="002C6B80"/>
    <w:rsid w:val="002C722F"/>
    <w:rsid w:val="002D0BC4"/>
    <w:rsid w:val="002D2D5C"/>
    <w:rsid w:val="002D3F40"/>
    <w:rsid w:val="002D54D6"/>
    <w:rsid w:val="002D6115"/>
    <w:rsid w:val="002D64AC"/>
    <w:rsid w:val="002D6A60"/>
    <w:rsid w:val="002D76C8"/>
    <w:rsid w:val="002D77F2"/>
    <w:rsid w:val="002E1017"/>
    <w:rsid w:val="002E377E"/>
    <w:rsid w:val="002F0394"/>
    <w:rsid w:val="002F0991"/>
    <w:rsid w:val="002F0B5B"/>
    <w:rsid w:val="002F27B4"/>
    <w:rsid w:val="002F28EF"/>
    <w:rsid w:val="002F2D61"/>
    <w:rsid w:val="002F3670"/>
    <w:rsid w:val="002F458C"/>
    <w:rsid w:val="002F57CF"/>
    <w:rsid w:val="002F6EE1"/>
    <w:rsid w:val="00300387"/>
    <w:rsid w:val="00300E99"/>
    <w:rsid w:val="0030153D"/>
    <w:rsid w:val="0030187C"/>
    <w:rsid w:val="00301ADA"/>
    <w:rsid w:val="003031FD"/>
    <w:rsid w:val="00303481"/>
    <w:rsid w:val="00303A89"/>
    <w:rsid w:val="00303BAE"/>
    <w:rsid w:val="00303D8E"/>
    <w:rsid w:val="00304BD4"/>
    <w:rsid w:val="003050E5"/>
    <w:rsid w:val="00305672"/>
    <w:rsid w:val="00305789"/>
    <w:rsid w:val="003066F7"/>
    <w:rsid w:val="00307DAE"/>
    <w:rsid w:val="003102AF"/>
    <w:rsid w:val="00310A1F"/>
    <w:rsid w:val="00311883"/>
    <w:rsid w:val="00311B90"/>
    <w:rsid w:val="00312061"/>
    <w:rsid w:val="0031342E"/>
    <w:rsid w:val="003138DC"/>
    <w:rsid w:val="00314525"/>
    <w:rsid w:val="003169E9"/>
    <w:rsid w:val="00317452"/>
    <w:rsid w:val="00317DD3"/>
    <w:rsid w:val="00321219"/>
    <w:rsid w:val="0032178A"/>
    <w:rsid w:val="00321B37"/>
    <w:rsid w:val="00321D9F"/>
    <w:rsid w:val="00321E9C"/>
    <w:rsid w:val="003229BA"/>
    <w:rsid w:val="003245CE"/>
    <w:rsid w:val="00325124"/>
    <w:rsid w:val="00326156"/>
    <w:rsid w:val="0032617C"/>
    <w:rsid w:val="0032687E"/>
    <w:rsid w:val="00327A52"/>
    <w:rsid w:val="00330F74"/>
    <w:rsid w:val="00331940"/>
    <w:rsid w:val="00332F46"/>
    <w:rsid w:val="0033315C"/>
    <w:rsid w:val="003331AE"/>
    <w:rsid w:val="00334B9D"/>
    <w:rsid w:val="00335C56"/>
    <w:rsid w:val="003371CD"/>
    <w:rsid w:val="003408FC"/>
    <w:rsid w:val="00341996"/>
    <w:rsid w:val="0034275F"/>
    <w:rsid w:val="00343CB9"/>
    <w:rsid w:val="003440BE"/>
    <w:rsid w:val="003441E1"/>
    <w:rsid w:val="00344760"/>
    <w:rsid w:val="00344F89"/>
    <w:rsid w:val="00346A3A"/>
    <w:rsid w:val="003476D1"/>
    <w:rsid w:val="003477E7"/>
    <w:rsid w:val="003477F8"/>
    <w:rsid w:val="00347D6D"/>
    <w:rsid w:val="00350417"/>
    <w:rsid w:val="00350FA4"/>
    <w:rsid w:val="0035248D"/>
    <w:rsid w:val="00352584"/>
    <w:rsid w:val="00352EE9"/>
    <w:rsid w:val="00354716"/>
    <w:rsid w:val="0035584F"/>
    <w:rsid w:val="00357593"/>
    <w:rsid w:val="003577DA"/>
    <w:rsid w:val="003603FA"/>
    <w:rsid w:val="003616BE"/>
    <w:rsid w:val="00362333"/>
    <w:rsid w:val="00362831"/>
    <w:rsid w:val="0036289B"/>
    <w:rsid w:val="00363AB8"/>
    <w:rsid w:val="00363D7F"/>
    <w:rsid w:val="00363FA5"/>
    <w:rsid w:val="00364C25"/>
    <w:rsid w:val="00364E4B"/>
    <w:rsid w:val="003666BD"/>
    <w:rsid w:val="00367E5B"/>
    <w:rsid w:val="00370A83"/>
    <w:rsid w:val="00372648"/>
    <w:rsid w:val="003726F6"/>
    <w:rsid w:val="00372CBB"/>
    <w:rsid w:val="0037362A"/>
    <w:rsid w:val="00373CF2"/>
    <w:rsid w:val="00375021"/>
    <w:rsid w:val="003751FF"/>
    <w:rsid w:val="00375B2B"/>
    <w:rsid w:val="00375DAA"/>
    <w:rsid w:val="00376482"/>
    <w:rsid w:val="00376CEE"/>
    <w:rsid w:val="0038346F"/>
    <w:rsid w:val="00383523"/>
    <w:rsid w:val="00383E89"/>
    <w:rsid w:val="0038584C"/>
    <w:rsid w:val="00390433"/>
    <w:rsid w:val="00391526"/>
    <w:rsid w:val="00391959"/>
    <w:rsid w:val="00391C3A"/>
    <w:rsid w:val="00391C41"/>
    <w:rsid w:val="00391FD0"/>
    <w:rsid w:val="00393436"/>
    <w:rsid w:val="0039468F"/>
    <w:rsid w:val="0039471C"/>
    <w:rsid w:val="00394DBC"/>
    <w:rsid w:val="00396E38"/>
    <w:rsid w:val="003A23FE"/>
    <w:rsid w:val="003A247F"/>
    <w:rsid w:val="003A50BD"/>
    <w:rsid w:val="003B0FB9"/>
    <w:rsid w:val="003B102C"/>
    <w:rsid w:val="003B1213"/>
    <w:rsid w:val="003B156B"/>
    <w:rsid w:val="003B1EE4"/>
    <w:rsid w:val="003B2F57"/>
    <w:rsid w:val="003B360D"/>
    <w:rsid w:val="003B3F9A"/>
    <w:rsid w:val="003B499C"/>
    <w:rsid w:val="003B5A58"/>
    <w:rsid w:val="003B64C9"/>
    <w:rsid w:val="003B6A7C"/>
    <w:rsid w:val="003B78E5"/>
    <w:rsid w:val="003B7C2A"/>
    <w:rsid w:val="003B7C99"/>
    <w:rsid w:val="003C05D0"/>
    <w:rsid w:val="003C0686"/>
    <w:rsid w:val="003C0F41"/>
    <w:rsid w:val="003C12ED"/>
    <w:rsid w:val="003C1DAE"/>
    <w:rsid w:val="003C3085"/>
    <w:rsid w:val="003C4029"/>
    <w:rsid w:val="003C4040"/>
    <w:rsid w:val="003C5EAD"/>
    <w:rsid w:val="003C5F30"/>
    <w:rsid w:val="003C6E72"/>
    <w:rsid w:val="003D0465"/>
    <w:rsid w:val="003D050B"/>
    <w:rsid w:val="003D22B7"/>
    <w:rsid w:val="003D2BA7"/>
    <w:rsid w:val="003D2F23"/>
    <w:rsid w:val="003D30DC"/>
    <w:rsid w:val="003D4A3A"/>
    <w:rsid w:val="003D4B5A"/>
    <w:rsid w:val="003D4F7E"/>
    <w:rsid w:val="003D6F9C"/>
    <w:rsid w:val="003D717D"/>
    <w:rsid w:val="003D7386"/>
    <w:rsid w:val="003D79AD"/>
    <w:rsid w:val="003E1340"/>
    <w:rsid w:val="003E15AD"/>
    <w:rsid w:val="003E1D1A"/>
    <w:rsid w:val="003E24EC"/>
    <w:rsid w:val="003E5DF0"/>
    <w:rsid w:val="003E6485"/>
    <w:rsid w:val="003E65F9"/>
    <w:rsid w:val="003E7516"/>
    <w:rsid w:val="003F1BE7"/>
    <w:rsid w:val="003F2234"/>
    <w:rsid w:val="003F397B"/>
    <w:rsid w:val="003F55A2"/>
    <w:rsid w:val="003F7499"/>
    <w:rsid w:val="003F78CF"/>
    <w:rsid w:val="003F7F32"/>
    <w:rsid w:val="00402C9C"/>
    <w:rsid w:val="00402D45"/>
    <w:rsid w:val="00403BE3"/>
    <w:rsid w:val="00404190"/>
    <w:rsid w:val="00405242"/>
    <w:rsid w:val="0040636C"/>
    <w:rsid w:val="00406D7C"/>
    <w:rsid w:val="00407650"/>
    <w:rsid w:val="004105ED"/>
    <w:rsid w:val="00410B45"/>
    <w:rsid w:val="00414678"/>
    <w:rsid w:val="00415342"/>
    <w:rsid w:val="00417384"/>
    <w:rsid w:val="004218AF"/>
    <w:rsid w:val="00422313"/>
    <w:rsid w:val="0042237A"/>
    <w:rsid w:val="00424071"/>
    <w:rsid w:val="00424A4A"/>
    <w:rsid w:val="00424C3D"/>
    <w:rsid w:val="0042664C"/>
    <w:rsid w:val="0043024B"/>
    <w:rsid w:val="00431D05"/>
    <w:rsid w:val="00432079"/>
    <w:rsid w:val="00432EE5"/>
    <w:rsid w:val="00433898"/>
    <w:rsid w:val="00433A33"/>
    <w:rsid w:val="0043466F"/>
    <w:rsid w:val="00434D5C"/>
    <w:rsid w:val="00435691"/>
    <w:rsid w:val="00437569"/>
    <w:rsid w:val="00440279"/>
    <w:rsid w:val="0044050C"/>
    <w:rsid w:val="00440771"/>
    <w:rsid w:val="00440BF0"/>
    <w:rsid w:val="00441732"/>
    <w:rsid w:val="004424C1"/>
    <w:rsid w:val="00442900"/>
    <w:rsid w:val="00442DB8"/>
    <w:rsid w:val="004437D3"/>
    <w:rsid w:val="00445621"/>
    <w:rsid w:val="004474EB"/>
    <w:rsid w:val="004504FD"/>
    <w:rsid w:val="0045200C"/>
    <w:rsid w:val="004522F6"/>
    <w:rsid w:val="004531B5"/>
    <w:rsid w:val="004549B2"/>
    <w:rsid w:val="00454CEE"/>
    <w:rsid w:val="0045521F"/>
    <w:rsid w:val="004605A0"/>
    <w:rsid w:val="00461DB2"/>
    <w:rsid w:val="00462855"/>
    <w:rsid w:val="00463B41"/>
    <w:rsid w:val="00465922"/>
    <w:rsid w:val="004661D2"/>
    <w:rsid w:val="0047080A"/>
    <w:rsid w:val="00474311"/>
    <w:rsid w:val="004746AF"/>
    <w:rsid w:val="004748C0"/>
    <w:rsid w:val="0047499B"/>
    <w:rsid w:val="0047504F"/>
    <w:rsid w:val="00475E8C"/>
    <w:rsid w:val="004764FF"/>
    <w:rsid w:val="00477810"/>
    <w:rsid w:val="0048020E"/>
    <w:rsid w:val="00483425"/>
    <w:rsid w:val="00483D71"/>
    <w:rsid w:val="00484434"/>
    <w:rsid w:val="00484A9A"/>
    <w:rsid w:val="00484CE4"/>
    <w:rsid w:val="00486151"/>
    <w:rsid w:val="004922FE"/>
    <w:rsid w:val="004957AB"/>
    <w:rsid w:val="00496080"/>
    <w:rsid w:val="004963F4"/>
    <w:rsid w:val="0049677D"/>
    <w:rsid w:val="00496E5C"/>
    <w:rsid w:val="004A0CED"/>
    <w:rsid w:val="004A267C"/>
    <w:rsid w:val="004A2DA3"/>
    <w:rsid w:val="004A4048"/>
    <w:rsid w:val="004A5175"/>
    <w:rsid w:val="004B023D"/>
    <w:rsid w:val="004B0700"/>
    <w:rsid w:val="004B0AC1"/>
    <w:rsid w:val="004B0FC0"/>
    <w:rsid w:val="004B18DD"/>
    <w:rsid w:val="004B195E"/>
    <w:rsid w:val="004B25F9"/>
    <w:rsid w:val="004B4E79"/>
    <w:rsid w:val="004B5D46"/>
    <w:rsid w:val="004B5ED8"/>
    <w:rsid w:val="004B681D"/>
    <w:rsid w:val="004B784E"/>
    <w:rsid w:val="004C2741"/>
    <w:rsid w:val="004C366E"/>
    <w:rsid w:val="004C3EFE"/>
    <w:rsid w:val="004C572D"/>
    <w:rsid w:val="004C5B76"/>
    <w:rsid w:val="004C6E95"/>
    <w:rsid w:val="004C727A"/>
    <w:rsid w:val="004C7E29"/>
    <w:rsid w:val="004D0E79"/>
    <w:rsid w:val="004D0E92"/>
    <w:rsid w:val="004D3E5D"/>
    <w:rsid w:val="004D4AD6"/>
    <w:rsid w:val="004D4BF7"/>
    <w:rsid w:val="004D5AFB"/>
    <w:rsid w:val="004D6842"/>
    <w:rsid w:val="004D6CE1"/>
    <w:rsid w:val="004D7CB2"/>
    <w:rsid w:val="004D7FC1"/>
    <w:rsid w:val="004E11D8"/>
    <w:rsid w:val="004E1E37"/>
    <w:rsid w:val="004E3461"/>
    <w:rsid w:val="004E34AE"/>
    <w:rsid w:val="004E3ABD"/>
    <w:rsid w:val="004E3E13"/>
    <w:rsid w:val="004E4A0E"/>
    <w:rsid w:val="004E5554"/>
    <w:rsid w:val="004E556C"/>
    <w:rsid w:val="004E6A64"/>
    <w:rsid w:val="004E7EE9"/>
    <w:rsid w:val="004F1820"/>
    <w:rsid w:val="004F2F12"/>
    <w:rsid w:val="004F39A4"/>
    <w:rsid w:val="004F3F95"/>
    <w:rsid w:val="004F49E4"/>
    <w:rsid w:val="004F4DD8"/>
    <w:rsid w:val="004F56BC"/>
    <w:rsid w:val="004F587E"/>
    <w:rsid w:val="004F663A"/>
    <w:rsid w:val="004F6A04"/>
    <w:rsid w:val="004F7E02"/>
    <w:rsid w:val="004F7FD6"/>
    <w:rsid w:val="0050039D"/>
    <w:rsid w:val="0050130E"/>
    <w:rsid w:val="00501ADA"/>
    <w:rsid w:val="00501C01"/>
    <w:rsid w:val="00501EE4"/>
    <w:rsid w:val="00503C74"/>
    <w:rsid w:val="0050410A"/>
    <w:rsid w:val="00504F28"/>
    <w:rsid w:val="00505AAD"/>
    <w:rsid w:val="0051039F"/>
    <w:rsid w:val="005107A8"/>
    <w:rsid w:val="00511223"/>
    <w:rsid w:val="00511C75"/>
    <w:rsid w:val="00511E0C"/>
    <w:rsid w:val="00512770"/>
    <w:rsid w:val="0051521D"/>
    <w:rsid w:val="005159F9"/>
    <w:rsid w:val="00516A66"/>
    <w:rsid w:val="00516D34"/>
    <w:rsid w:val="00520281"/>
    <w:rsid w:val="00520C33"/>
    <w:rsid w:val="00522A4B"/>
    <w:rsid w:val="00522A73"/>
    <w:rsid w:val="00524457"/>
    <w:rsid w:val="00532DF5"/>
    <w:rsid w:val="00533BAD"/>
    <w:rsid w:val="005359F2"/>
    <w:rsid w:val="00535FF0"/>
    <w:rsid w:val="0053665C"/>
    <w:rsid w:val="00536727"/>
    <w:rsid w:val="0053729F"/>
    <w:rsid w:val="00537A21"/>
    <w:rsid w:val="00537C7A"/>
    <w:rsid w:val="00540BC0"/>
    <w:rsid w:val="00541224"/>
    <w:rsid w:val="0054226C"/>
    <w:rsid w:val="00543934"/>
    <w:rsid w:val="00545B61"/>
    <w:rsid w:val="005462FE"/>
    <w:rsid w:val="005469BA"/>
    <w:rsid w:val="00546E52"/>
    <w:rsid w:val="005476FF"/>
    <w:rsid w:val="00550214"/>
    <w:rsid w:val="005508A7"/>
    <w:rsid w:val="00550F15"/>
    <w:rsid w:val="00552097"/>
    <w:rsid w:val="005521FF"/>
    <w:rsid w:val="0055317C"/>
    <w:rsid w:val="0055511E"/>
    <w:rsid w:val="00555DB6"/>
    <w:rsid w:val="00556A9C"/>
    <w:rsid w:val="005575BB"/>
    <w:rsid w:val="00560BF8"/>
    <w:rsid w:val="00562F1E"/>
    <w:rsid w:val="00563880"/>
    <w:rsid w:val="00565344"/>
    <w:rsid w:val="005657E6"/>
    <w:rsid w:val="0056662C"/>
    <w:rsid w:val="00566D6B"/>
    <w:rsid w:val="00572142"/>
    <w:rsid w:val="00572675"/>
    <w:rsid w:val="00572C83"/>
    <w:rsid w:val="00572FCD"/>
    <w:rsid w:val="0057327B"/>
    <w:rsid w:val="00574283"/>
    <w:rsid w:val="0057549B"/>
    <w:rsid w:val="00576126"/>
    <w:rsid w:val="0057679E"/>
    <w:rsid w:val="00577AA9"/>
    <w:rsid w:val="00577D0D"/>
    <w:rsid w:val="0058003C"/>
    <w:rsid w:val="00581185"/>
    <w:rsid w:val="0058252B"/>
    <w:rsid w:val="0058418A"/>
    <w:rsid w:val="00584AB9"/>
    <w:rsid w:val="00585810"/>
    <w:rsid w:val="005859B2"/>
    <w:rsid w:val="005859C3"/>
    <w:rsid w:val="00585B3A"/>
    <w:rsid w:val="005871DE"/>
    <w:rsid w:val="00590A2E"/>
    <w:rsid w:val="00593A5E"/>
    <w:rsid w:val="005964B6"/>
    <w:rsid w:val="005966A5"/>
    <w:rsid w:val="005972EF"/>
    <w:rsid w:val="005974A4"/>
    <w:rsid w:val="005A0A4B"/>
    <w:rsid w:val="005A2CA5"/>
    <w:rsid w:val="005A2CD6"/>
    <w:rsid w:val="005A440D"/>
    <w:rsid w:val="005A6A5F"/>
    <w:rsid w:val="005A6D6B"/>
    <w:rsid w:val="005A6DF0"/>
    <w:rsid w:val="005A7255"/>
    <w:rsid w:val="005B15C0"/>
    <w:rsid w:val="005B1970"/>
    <w:rsid w:val="005B3C63"/>
    <w:rsid w:val="005B7218"/>
    <w:rsid w:val="005B7363"/>
    <w:rsid w:val="005C27C3"/>
    <w:rsid w:val="005C36AA"/>
    <w:rsid w:val="005C3CC0"/>
    <w:rsid w:val="005C5091"/>
    <w:rsid w:val="005C50A1"/>
    <w:rsid w:val="005C527F"/>
    <w:rsid w:val="005C533A"/>
    <w:rsid w:val="005C7E4A"/>
    <w:rsid w:val="005D0E81"/>
    <w:rsid w:val="005D26AD"/>
    <w:rsid w:val="005D2C02"/>
    <w:rsid w:val="005D2F5B"/>
    <w:rsid w:val="005D4695"/>
    <w:rsid w:val="005D773C"/>
    <w:rsid w:val="005D77BF"/>
    <w:rsid w:val="005E0199"/>
    <w:rsid w:val="005E1486"/>
    <w:rsid w:val="005E22E0"/>
    <w:rsid w:val="005E3C18"/>
    <w:rsid w:val="005E41E9"/>
    <w:rsid w:val="005F0AFE"/>
    <w:rsid w:val="005F103A"/>
    <w:rsid w:val="005F138E"/>
    <w:rsid w:val="005F2061"/>
    <w:rsid w:val="005F47D3"/>
    <w:rsid w:val="005F5605"/>
    <w:rsid w:val="005F592A"/>
    <w:rsid w:val="005F67F2"/>
    <w:rsid w:val="005F6B4F"/>
    <w:rsid w:val="005F748F"/>
    <w:rsid w:val="00601653"/>
    <w:rsid w:val="006016C5"/>
    <w:rsid w:val="00601A38"/>
    <w:rsid w:val="00601DE0"/>
    <w:rsid w:val="00603085"/>
    <w:rsid w:val="00603346"/>
    <w:rsid w:val="006036D7"/>
    <w:rsid w:val="00605CBE"/>
    <w:rsid w:val="006067E4"/>
    <w:rsid w:val="0060697A"/>
    <w:rsid w:val="00606C2A"/>
    <w:rsid w:val="00610462"/>
    <w:rsid w:val="006114B7"/>
    <w:rsid w:val="00612A2D"/>
    <w:rsid w:val="00613133"/>
    <w:rsid w:val="00613C27"/>
    <w:rsid w:val="00614F66"/>
    <w:rsid w:val="006169D7"/>
    <w:rsid w:val="0061770A"/>
    <w:rsid w:val="00620C6B"/>
    <w:rsid w:val="00623BBF"/>
    <w:rsid w:val="00624D9C"/>
    <w:rsid w:val="00625E84"/>
    <w:rsid w:val="00630287"/>
    <w:rsid w:val="0063150A"/>
    <w:rsid w:val="006322FC"/>
    <w:rsid w:val="006349A6"/>
    <w:rsid w:val="006350C3"/>
    <w:rsid w:val="00635CD7"/>
    <w:rsid w:val="00635FCE"/>
    <w:rsid w:val="00636E7B"/>
    <w:rsid w:val="00640117"/>
    <w:rsid w:val="0064132C"/>
    <w:rsid w:val="0064288F"/>
    <w:rsid w:val="0064594A"/>
    <w:rsid w:val="006461E4"/>
    <w:rsid w:val="0064626C"/>
    <w:rsid w:val="006462A3"/>
    <w:rsid w:val="00647CE7"/>
    <w:rsid w:val="00650849"/>
    <w:rsid w:val="00650BD0"/>
    <w:rsid w:val="00651737"/>
    <w:rsid w:val="00652281"/>
    <w:rsid w:val="00652CEF"/>
    <w:rsid w:val="006544C1"/>
    <w:rsid w:val="00654D1C"/>
    <w:rsid w:val="0065658A"/>
    <w:rsid w:val="00656D48"/>
    <w:rsid w:val="0065710D"/>
    <w:rsid w:val="00657F31"/>
    <w:rsid w:val="006602DC"/>
    <w:rsid w:val="006603E0"/>
    <w:rsid w:val="006612E0"/>
    <w:rsid w:val="00661881"/>
    <w:rsid w:val="006623D9"/>
    <w:rsid w:val="00663494"/>
    <w:rsid w:val="00665048"/>
    <w:rsid w:val="00666AB4"/>
    <w:rsid w:val="00670FBD"/>
    <w:rsid w:val="00673CAA"/>
    <w:rsid w:val="006740CA"/>
    <w:rsid w:val="00674259"/>
    <w:rsid w:val="00674417"/>
    <w:rsid w:val="00675949"/>
    <w:rsid w:val="00675CED"/>
    <w:rsid w:val="00676232"/>
    <w:rsid w:val="00680554"/>
    <w:rsid w:val="006808AF"/>
    <w:rsid w:val="006815D2"/>
    <w:rsid w:val="0068161F"/>
    <w:rsid w:val="00681EAC"/>
    <w:rsid w:val="006820C8"/>
    <w:rsid w:val="006834E5"/>
    <w:rsid w:val="00683775"/>
    <w:rsid w:val="00683BFA"/>
    <w:rsid w:val="00683CC1"/>
    <w:rsid w:val="00684310"/>
    <w:rsid w:val="00684EFE"/>
    <w:rsid w:val="006875E6"/>
    <w:rsid w:val="0069232A"/>
    <w:rsid w:val="006925C8"/>
    <w:rsid w:val="00692ABC"/>
    <w:rsid w:val="00692EDE"/>
    <w:rsid w:val="00694C6A"/>
    <w:rsid w:val="0069557A"/>
    <w:rsid w:val="00696039"/>
    <w:rsid w:val="00696A33"/>
    <w:rsid w:val="00696C29"/>
    <w:rsid w:val="006971C1"/>
    <w:rsid w:val="006973DA"/>
    <w:rsid w:val="00697513"/>
    <w:rsid w:val="006A1EA8"/>
    <w:rsid w:val="006A441F"/>
    <w:rsid w:val="006A5050"/>
    <w:rsid w:val="006A6B45"/>
    <w:rsid w:val="006A6ECA"/>
    <w:rsid w:val="006A712F"/>
    <w:rsid w:val="006B009B"/>
    <w:rsid w:val="006B01D2"/>
    <w:rsid w:val="006B08A1"/>
    <w:rsid w:val="006B1580"/>
    <w:rsid w:val="006B2C95"/>
    <w:rsid w:val="006B2D9F"/>
    <w:rsid w:val="006B4217"/>
    <w:rsid w:val="006B4B32"/>
    <w:rsid w:val="006B4D50"/>
    <w:rsid w:val="006B736F"/>
    <w:rsid w:val="006C1645"/>
    <w:rsid w:val="006C243D"/>
    <w:rsid w:val="006C3343"/>
    <w:rsid w:val="006C353A"/>
    <w:rsid w:val="006C3E11"/>
    <w:rsid w:val="006C3F38"/>
    <w:rsid w:val="006C43DB"/>
    <w:rsid w:val="006C6F77"/>
    <w:rsid w:val="006C728F"/>
    <w:rsid w:val="006C759A"/>
    <w:rsid w:val="006C7A2B"/>
    <w:rsid w:val="006C7A79"/>
    <w:rsid w:val="006D2354"/>
    <w:rsid w:val="006D34C6"/>
    <w:rsid w:val="006D3661"/>
    <w:rsid w:val="006D5069"/>
    <w:rsid w:val="006D602E"/>
    <w:rsid w:val="006E0317"/>
    <w:rsid w:val="006E0411"/>
    <w:rsid w:val="006E0EEA"/>
    <w:rsid w:val="006E19CB"/>
    <w:rsid w:val="006E2445"/>
    <w:rsid w:val="006E2A73"/>
    <w:rsid w:val="006E2BD6"/>
    <w:rsid w:val="006E3827"/>
    <w:rsid w:val="006E460D"/>
    <w:rsid w:val="006E698E"/>
    <w:rsid w:val="006E6ACA"/>
    <w:rsid w:val="006E7ED7"/>
    <w:rsid w:val="006F06C0"/>
    <w:rsid w:val="006F0753"/>
    <w:rsid w:val="006F07B9"/>
    <w:rsid w:val="006F0AC0"/>
    <w:rsid w:val="006F138E"/>
    <w:rsid w:val="006F20D3"/>
    <w:rsid w:val="006F32D9"/>
    <w:rsid w:val="006F5EDE"/>
    <w:rsid w:val="006F7000"/>
    <w:rsid w:val="006F7AB7"/>
    <w:rsid w:val="006F7D5B"/>
    <w:rsid w:val="0070011E"/>
    <w:rsid w:val="0070084B"/>
    <w:rsid w:val="00700A88"/>
    <w:rsid w:val="00700AA3"/>
    <w:rsid w:val="0070126B"/>
    <w:rsid w:val="00701A74"/>
    <w:rsid w:val="00701F84"/>
    <w:rsid w:val="00704955"/>
    <w:rsid w:val="00704B00"/>
    <w:rsid w:val="00707A79"/>
    <w:rsid w:val="007103DD"/>
    <w:rsid w:val="00711563"/>
    <w:rsid w:val="007116BD"/>
    <w:rsid w:val="00712689"/>
    <w:rsid w:val="00712DBF"/>
    <w:rsid w:val="007142AF"/>
    <w:rsid w:val="00715EF9"/>
    <w:rsid w:val="00720215"/>
    <w:rsid w:val="00720860"/>
    <w:rsid w:val="00722676"/>
    <w:rsid w:val="00722C45"/>
    <w:rsid w:val="00722F6F"/>
    <w:rsid w:val="00723760"/>
    <w:rsid w:val="00723873"/>
    <w:rsid w:val="00723EF4"/>
    <w:rsid w:val="00724F3B"/>
    <w:rsid w:val="007254CF"/>
    <w:rsid w:val="007267B0"/>
    <w:rsid w:val="00726BB3"/>
    <w:rsid w:val="00727613"/>
    <w:rsid w:val="00730085"/>
    <w:rsid w:val="00730B85"/>
    <w:rsid w:val="007312F1"/>
    <w:rsid w:val="00732BA9"/>
    <w:rsid w:val="00733424"/>
    <w:rsid w:val="00734AB8"/>
    <w:rsid w:val="00735E2A"/>
    <w:rsid w:val="007374AE"/>
    <w:rsid w:val="0074119A"/>
    <w:rsid w:val="00741436"/>
    <w:rsid w:val="00742C4F"/>
    <w:rsid w:val="00742D0B"/>
    <w:rsid w:val="0074525B"/>
    <w:rsid w:val="00746166"/>
    <w:rsid w:val="00746DD2"/>
    <w:rsid w:val="00747DBF"/>
    <w:rsid w:val="007507FA"/>
    <w:rsid w:val="007508F9"/>
    <w:rsid w:val="00751115"/>
    <w:rsid w:val="0075231B"/>
    <w:rsid w:val="00752713"/>
    <w:rsid w:val="00752773"/>
    <w:rsid w:val="0075541B"/>
    <w:rsid w:val="00755F14"/>
    <w:rsid w:val="0076012C"/>
    <w:rsid w:val="00760759"/>
    <w:rsid w:val="00760919"/>
    <w:rsid w:val="00761AA4"/>
    <w:rsid w:val="0076322C"/>
    <w:rsid w:val="00763E5D"/>
    <w:rsid w:val="00764C39"/>
    <w:rsid w:val="007651BA"/>
    <w:rsid w:val="00766C7C"/>
    <w:rsid w:val="00772F0A"/>
    <w:rsid w:val="00774F4D"/>
    <w:rsid w:val="00775F5B"/>
    <w:rsid w:val="007766CD"/>
    <w:rsid w:val="0077723D"/>
    <w:rsid w:val="00780BAB"/>
    <w:rsid w:val="00780C6B"/>
    <w:rsid w:val="00782C91"/>
    <w:rsid w:val="00784433"/>
    <w:rsid w:val="007849CF"/>
    <w:rsid w:val="00785953"/>
    <w:rsid w:val="0078637B"/>
    <w:rsid w:val="00787E1D"/>
    <w:rsid w:val="007900B1"/>
    <w:rsid w:val="00790820"/>
    <w:rsid w:val="00791CF4"/>
    <w:rsid w:val="007926BB"/>
    <w:rsid w:val="00792C99"/>
    <w:rsid w:val="007941AA"/>
    <w:rsid w:val="00794E42"/>
    <w:rsid w:val="0079667C"/>
    <w:rsid w:val="0079692D"/>
    <w:rsid w:val="00797124"/>
    <w:rsid w:val="00797539"/>
    <w:rsid w:val="007975F3"/>
    <w:rsid w:val="00797D97"/>
    <w:rsid w:val="007A28E7"/>
    <w:rsid w:val="007A5F3C"/>
    <w:rsid w:val="007A62DD"/>
    <w:rsid w:val="007A6B24"/>
    <w:rsid w:val="007A6D73"/>
    <w:rsid w:val="007B01B5"/>
    <w:rsid w:val="007B062F"/>
    <w:rsid w:val="007B1AB8"/>
    <w:rsid w:val="007B2015"/>
    <w:rsid w:val="007B2F5A"/>
    <w:rsid w:val="007B4132"/>
    <w:rsid w:val="007B43E5"/>
    <w:rsid w:val="007B481A"/>
    <w:rsid w:val="007B699D"/>
    <w:rsid w:val="007B7369"/>
    <w:rsid w:val="007B79E4"/>
    <w:rsid w:val="007C0217"/>
    <w:rsid w:val="007C0929"/>
    <w:rsid w:val="007C0A1A"/>
    <w:rsid w:val="007C19A9"/>
    <w:rsid w:val="007C20E2"/>
    <w:rsid w:val="007C2C5B"/>
    <w:rsid w:val="007C2C87"/>
    <w:rsid w:val="007C4C31"/>
    <w:rsid w:val="007C4E9A"/>
    <w:rsid w:val="007C5BBC"/>
    <w:rsid w:val="007C6281"/>
    <w:rsid w:val="007C690A"/>
    <w:rsid w:val="007C7035"/>
    <w:rsid w:val="007D0105"/>
    <w:rsid w:val="007D15BF"/>
    <w:rsid w:val="007D1EA1"/>
    <w:rsid w:val="007D21DB"/>
    <w:rsid w:val="007D2E56"/>
    <w:rsid w:val="007D30C4"/>
    <w:rsid w:val="007D4E11"/>
    <w:rsid w:val="007D5E08"/>
    <w:rsid w:val="007D6C95"/>
    <w:rsid w:val="007D7294"/>
    <w:rsid w:val="007E0A86"/>
    <w:rsid w:val="007E12A4"/>
    <w:rsid w:val="007E227C"/>
    <w:rsid w:val="007E3DB7"/>
    <w:rsid w:val="007E6021"/>
    <w:rsid w:val="007E67FE"/>
    <w:rsid w:val="007F1AA5"/>
    <w:rsid w:val="007F1B3D"/>
    <w:rsid w:val="007F1FB4"/>
    <w:rsid w:val="007F261C"/>
    <w:rsid w:val="007F4BF9"/>
    <w:rsid w:val="007F5E6E"/>
    <w:rsid w:val="00800023"/>
    <w:rsid w:val="00800320"/>
    <w:rsid w:val="0080068D"/>
    <w:rsid w:val="00802707"/>
    <w:rsid w:val="00803A56"/>
    <w:rsid w:val="00803C17"/>
    <w:rsid w:val="00804D25"/>
    <w:rsid w:val="00805FEB"/>
    <w:rsid w:val="0080619A"/>
    <w:rsid w:val="00806FBA"/>
    <w:rsid w:val="00807BF1"/>
    <w:rsid w:val="008104BB"/>
    <w:rsid w:val="00810FB3"/>
    <w:rsid w:val="008113E5"/>
    <w:rsid w:val="00812F38"/>
    <w:rsid w:val="008139AB"/>
    <w:rsid w:val="00813C0C"/>
    <w:rsid w:val="00814B8D"/>
    <w:rsid w:val="00814FAF"/>
    <w:rsid w:val="008151B8"/>
    <w:rsid w:val="008155C4"/>
    <w:rsid w:val="00815AF8"/>
    <w:rsid w:val="00815B15"/>
    <w:rsid w:val="00815F2E"/>
    <w:rsid w:val="00816167"/>
    <w:rsid w:val="00816324"/>
    <w:rsid w:val="008168B7"/>
    <w:rsid w:val="00817A9D"/>
    <w:rsid w:val="0082125A"/>
    <w:rsid w:val="008213E9"/>
    <w:rsid w:val="008225F0"/>
    <w:rsid w:val="008255CF"/>
    <w:rsid w:val="00827034"/>
    <w:rsid w:val="0083071E"/>
    <w:rsid w:val="00830DCE"/>
    <w:rsid w:val="00832B06"/>
    <w:rsid w:val="00832F57"/>
    <w:rsid w:val="0083374C"/>
    <w:rsid w:val="00833923"/>
    <w:rsid w:val="00834940"/>
    <w:rsid w:val="00835C0B"/>
    <w:rsid w:val="00835EDB"/>
    <w:rsid w:val="00836550"/>
    <w:rsid w:val="00837614"/>
    <w:rsid w:val="008412E8"/>
    <w:rsid w:val="008412ED"/>
    <w:rsid w:val="0084133A"/>
    <w:rsid w:val="00842075"/>
    <w:rsid w:val="0084297C"/>
    <w:rsid w:val="00842C4E"/>
    <w:rsid w:val="00842F23"/>
    <w:rsid w:val="00843974"/>
    <w:rsid w:val="00843D1E"/>
    <w:rsid w:val="00845866"/>
    <w:rsid w:val="00845F77"/>
    <w:rsid w:val="00847394"/>
    <w:rsid w:val="00850E95"/>
    <w:rsid w:val="0085113B"/>
    <w:rsid w:val="00851C03"/>
    <w:rsid w:val="008558A6"/>
    <w:rsid w:val="008561FB"/>
    <w:rsid w:val="0085663E"/>
    <w:rsid w:val="00857157"/>
    <w:rsid w:val="0085745B"/>
    <w:rsid w:val="00857556"/>
    <w:rsid w:val="00857578"/>
    <w:rsid w:val="00857E7D"/>
    <w:rsid w:val="00860661"/>
    <w:rsid w:val="00860679"/>
    <w:rsid w:val="00860B65"/>
    <w:rsid w:val="008614AF"/>
    <w:rsid w:val="00861BF2"/>
    <w:rsid w:val="0086306D"/>
    <w:rsid w:val="00863AB1"/>
    <w:rsid w:val="00864BE2"/>
    <w:rsid w:val="0086596D"/>
    <w:rsid w:val="00866D70"/>
    <w:rsid w:val="00867092"/>
    <w:rsid w:val="00867C4B"/>
    <w:rsid w:val="00870BE5"/>
    <w:rsid w:val="008713AE"/>
    <w:rsid w:val="00874452"/>
    <w:rsid w:val="008747E7"/>
    <w:rsid w:val="00874C90"/>
    <w:rsid w:val="00875DB7"/>
    <w:rsid w:val="00875F8C"/>
    <w:rsid w:val="00877496"/>
    <w:rsid w:val="008802D9"/>
    <w:rsid w:val="00880B24"/>
    <w:rsid w:val="00881F6E"/>
    <w:rsid w:val="00882856"/>
    <w:rsid w:val="00884FD4"/>
    <w:rsid w:val="0088510C"/>
    <w:rsid w:val="00885755"/>
    <w:rsid w:val="008857B3"/>
    <w:rsid w:val="00886D2E"/>
    <w:rsid w:val="00887ACE"/>
    <w:rsid w:val="008909FD"/>
    <w:rsid w:val="00890BB7"/>
    <w:rsid w:val="0089237C"/>
    <w:rsid w:val="008944E4"/>
    <w:rsid w:val="008949F4"/>
    <w:rsid w:val="00895309"/>
    <w:rsid w:val="00896B5B"/>
    <w:rsid w:val="00897370"/>
    <w:rsid w:val="008A0CA3"/>
    <w:rsid w:val="008A1DCB"/>
    <w:rsid w:val="008A4AD2"/>
    <w:rsid w:val="008A65B9"/>
    <w:rsid w:val="008A70AB"/>
    <w:rsid w:val="008B045F"/>
    <w:rsid w:val="008B0DD9"/>
    <w:rsid w:val="008B0FCA"/>
    <w:rsid w:val="008B26EF"/>
    <w:rsid w:val="008B317D"/>
    <w:rsid w:val="008B3CB8"/>
    <w:rsid w:val="008B48CE"/>
    <w:rsid w:val="008B550E"/>
    <w:rsid w:val="008B7468"/>
    <w:rsid w:val="008C0A43"/>
    <w:rsid w:val="008C2491"/>
    <w:rsid w:val="008C2B06"/>
    <w:rsid w:val="008C3911"/>
    <w:rsid w:val="008C3DB6"/>
    <w:rsid w:val="008C41B0"/>
    <w:rsid w:val="008C41CF"/>
    <w:rsid w:val="008C444D"/>
    <w:rsid w:val="008C4A15"/>
    <w:rsid w:val="008C6428"/>
    <w:rsid w:val="008C76F9"/>
    <w:rsid w:val="008D1E26"/>
    <w:rsid w:val="008D21A1"/>
    <w:rsid w:val="008D2468"/>
    <w:rsid w:val="008D25F7"/>
    <w:rsid w:val="008D4063"/>
    <w:rsid w:val="008D4446"/>
    <w:rsid w:val="008D5432"/>
    <w:rsid w:val="008D6887"/>
    <w:rsid w:val="008D724A"/>
    <w:rsid w:val="008E030A"/>
    <w:rsid w:val="008E4B3D"/>
    <w:rsid w:val="008E5DC2"/>
    <w:rsid w:val="008E7C1A"/>
    <w:rsid w:val="008F05B8"/>
    <w:rsid w:val="008F0BEF"/>
    <w:rsid w:val="008F15ED"/>
    <w:rsid w:val="008F31E3"/>
    <w:rsid w:val="008F4CB6"/>
    <w:rsid w:val="008F5CD2"/>
    <w:rsid w:val="008F639A"/>
    <w:rsid w:val="008F671D"/>
    <w:rsid w:val="008F7881"/>
    <w:rsid w:val="00901085"/>
    <w:rsid w:val="009020BA"/>
    <w:rsid w:val="009027C3"/>
    <w:rsid w:val="009037D3"/>
    <w:rsid w:val="00905210"/>
    <w:rsid w:val="009127F8"/>
    <w:rsid w:val="00912992"/>
    <w:rsid w:val="009147BB"/>
    <w:rsid w:val="00914D6A"/>
    <w:rsid w:val="009155BE"/>
    <w:rsid w:val="00915722"/>
    <w:rsid w:val="00917B6B"/>
    <w:rsid w:val="00920467"/>
    <w:rsid w:val="00923906"/>
    <w:rsid w:val="00925A63"/>
    <w:rsid w:val="00925C3A"/>
    <w:rsid w:val="00926824"/>
    <w:rsid w:val="00926D20"/>
    <w:rsid w:val="009276D2"/>
    <w:rsid w:val="00927945"/>
    <w:rsid w:val="009308B5"/>
    <w:rsid w:val="00930C4E"/>
    <w:rsid w:val="009316FF"/>
    <w:rsid w:val="009322A4"/>
    <w:rsid w:val="00932488"/>
    <w:rsid w:val="00934131"/>
    <w:rsid w:val="00936E68"/>
    <w:rsid w:val="00936E86"/>
    <w:rsid w:val="0093751D"/>
    <w:rsid w:val="00937F98"/>
    <w:rsid w:val="00941A97"/>
    <w:rsid w:val="00941CFD"/>
    <w:rsid w:val="009456D1"/>
    <w:rsid w:val="00945F05"/>
    <w:rsid w:val="00947B67"/>
    <w:rsid w:val="00947EBE"/>
    <w:rsid w:val="009510D4"/>
    <w:rsid w:val="00951460"/>
    <w:rsid w:val="00951A25"/>
    <w:rsid w:val="00951D86"/>
    <w:rsid w:val="00952692"/>
    <w:rsid w:val="00952CA9"/>
    <w:rsid w:val="00952F9A"/>
    <w:rsid w:val="00953271"/>
    <w:rsid w:val="00953DB0"/>
    <w:rsid w:val="009546B7"/>
    <w:rsid w:val="00954A83"/>
    <w:rsid w:val="00954EF1"/>
    <w:rsid w:val="009568AE"/>
    <w:rsid w:val="00957478"/>
    <w:rsid w:val="0096005D"/>
    <w:rsid w:val="00961078"/>
    <w:rsid w:val="00962A6F"/>
    <w:rsid w:val="00963257"/>
    <w:rsid w:val="00965206"/>
    <w:rsid w:val="00965215"/>
    <w:rsid w:val="009655C3"/>
    <w:rsid w:val="0096561B"/>
    <w:rsid w:val="00965C91"/>
    <w:rsid w:val="00965ECB"/>
    <w:rsid w:val="00966359"/>
    <w:rsid w:val="009664CF"/>
    <w:rsid w:val="00966CBA"/>
    <w:rsid w:val="00967D29"/>
    <w:rsid w:val="00970B6B"/>
    <w:rsid w:val="00971EBE"/>
    <w:rsid w:val="00974E11"/>
    <w:rsid w:val="00975534"/>
    <w:rsid w:val="00975D14"/>
    <w:rsid w:val="0097675C"/>
    <w:rsid w:val="009773D8"/>
    <w:rsid w:val="0098014C"/>
    <w:rsid w:val="00983791"/>
    <w:rsid w:val="00984631"/>
    <w:rsid w:val="009846BA"/>
    <w:rsid w:val="00985A6C"/>
    <w:rsid w:val="00985D94"/>
    <w:rsid w:val="00986BB0"/>
    <w:rsid w:val="00986CD0"/>
    <w:rsid w:val="00986EE3"/>
    <w:rsid w:val="009878EA"/>
    <w:rsid w:val="00987D21"/>
    <w:rsid w:val="00987EEA"/>
    <w:rsid w:val="00991556"/>
    <w:rsid w:val="00991570"/>
    <w:rsid w:val="0099217D"/>
    <w:rsid w:val="00993CD1"/>
    <w:rsid w:val="0099406D"/>
    <w:rsid w:val="0099467F"/>
    <w:rsid w:val="00994DC8"/>
    <w:rsid w:val="009952FA"/>
    <w:rsid w:val="0099614A"/>
    <w:rsid w:val="0099767E"/>
    <w:rsid w:val="00997C3E"/>
    <w:rsid w:val="009A0A25"/>
    <w:rsid w:val="009A1C71"/>
    <w:rsid w:val="009A2851"/>
    <w:rsid w:val="009A3A79"/>
    <w:rsid w:val="009A5359"/>
    <w:rsid w:val="009A5D57"/>
    <w:rsid w:val="009A628C"/>
    <w:rsid w:val="009A65EC"/>
    <w:rsid w:val="009B255D"/>
    <w:rsid w:val="009B4004"/>
    <w:rsid w:val="009B5A0B"/>
    <w:rsid w:val="009B6868"/>
    <w:rsid w:val="009B6F3D"/>
    <w:rsid w:val="009B7A73"/>
    <w:rsid w:val="009B7C04"/>
    <w:rsid w:val="009C040C"/>
    <w:rsid w:val="009C1F3F"/>
    <w:rsid w:val="009C1F7C"/>
    <w:rsid w:val="009C52E5"/>
    <w:rsid w:val="009C5B12"/>
    <w:rsid w:val="009C5B41"/>
    <w:rsid w:val="009C679C"/>
    <w:rsid w:val="009D05C3"/>
    <w:rsid w:val="009D0BB8"/>
    <w:rsid w:val="009D12BD"/>
    <w:rsid w:val="009D2398"/>
    <w:rsid w:val="009D2712"/>
    <w:rsid w:val="009D2EB1"/>
    <w:rsid w:val="009D373B"/>
    <w:rsid w:val="009D47BF"/>
    <w:rsid w:val="009D4D71"/>
    <w:rsid w:val="009D56CD"/>
    <w:rsid w:val="009D7DAF"/>
    <w:rsid w:val="009E15E2"/>
    <w:rsid w:val="009E3473"/>
    <w:rsid w:val="009E58D5"/>
    <w:rsid w:val="009E655D"/>
    <w:rsid w:val="009E6956"/>
    <w:rsid w:val="009E7AC4"/>
    <w:rsid w:val="009F1100"/>
    <w:rsid w:val="009F25F0"/>
    <w:rsid w:val="009F3FBA"/>
    <w:rsid w:val="009F6583"/>
    <w:rsid w:val="009F73AE"/>
    <w:rsid w:val="00A0190C"/>
    <w:rsid w:val="00A02CCD"/>
    <w:rsid w:val="00A02E50"/>
    <w:rsid w:val="00A02EFC"/>
    <w:rsid w:val="00A030F1"/>
    <w:rsid w:val="00A0400C"/>
    <w:rsid w:val="00A0454F"/>
    <w:rsid w:val="00A04F72"/>
    <w:rsid w:val="00A055E8"/>
    <w:rsid w:val="00A06694"/>
    <w:rsid w:val="00A070CB"/>
    <w:rsid w:val="00A132B9"/>
    <w:rsid w:val="00A152B4"/>
    <w:rsid w:val="00A20342"/>
    <w:rsid w:val="00A2075B"/>
    <w:rsid w:val="00A21B54"/>
    <w:rsid w:val="00A21F1D"/>
    <w:rsid w:val="00A21F80"/>
    <w:rsid w:val="00A23A54"/>
    <w:rsid w:val="00A23BE2"/>
    <w:rsid w:val="00A249FE"/>
    <w:rsid w:val="00A24BAA"/>
    <w:rsid w:val="00A24EC7"/>
    <w:rsid w:val="00A25CEA"/>
    <w:rsid w:val="00A26142"/>
    <w:rsid w:val="00A261D3"/>
    <w:rsid w:val="00A26C1C"/>
    <w:rsid w:val="00A27FDB"/>
    <w:rsid w:val="00A30D95"/>
    <w:rsid w:val="00A310B5"/>
    <w:rsid w:val="00A319DE"/>
    <w:rsid w:val="00A32152"/>
    <w:rsid w:val="00A32CC3"/>
    <w:rsid w:val="00A33162"/>
    <w:rsid w:val="00A33930"/>
    <w:rsid w:val="00A339BC"/>
    <w:rsid w:val="00A3600A"/>
    <w:rsid w:val="00A3603A"/>
    <w:rsid w:val="00A367D9"/>
    <w:rsid w:val="00A3723B"/>
    <w:rsid w:val="00A37CE1"/>
    <w:rsid w:val="00A40A57"/>
    <w:rsid w:val="00A40B47"/>
    <w:rsid w:val="00A42DD8"/>
    <w:rsid w:val="00A42F21"/>
    <w:rsid w:val="00A43353"/>
    <w:rsid w:val="00A4446E"/>
    <w:rsid w:val="00A44E2D"/>
    <w:rsid w:val="00A455FF"/>
    <w:rsid w:val="00A4589F"/>
    <w:rsid w:val="00A461D6"/>
    <w:rsid w:val="00A46AF1"/>
    <w:rsid w:val="00A47B2F"/>
    <w:rsid w:val="00A47E73"/>
    <w:rsid w:val="00A500E6"/>
    <w:rsid w:val="00A51CD4"/>
    <w:rsid w:val="00A52763"/>
    <w:rsid w:val="00A5345B"/>
    <w:rsid w:val="00A537F2"/>
    <w:rsid w:val="00A54B3C"/>
    <w:rsid w:val="00A5659C"/>
    <w:rsid w:val="00A57589"/>
    <w:rsid w:val="00A604E6"/>
    <w:rsid w:val="00A610EF"/>
    <w:rsid w:val="00A61486"/>
    <w:rsid w:val="00A61929"/>
    <w:rsid w:val="00A61B00"/>
    <w:rsid w:val="00A629DA"/>
    <w:rsid w:val="00A62D55"/>
    <w:rsid w:val="00A66101"/>
    <w:rsid w:val="00A6641E"/>
    <w:rsid w:val="00A667A6"/>
    <w:rsid w:val="00A6732B"/>
    <w:rsid w:val="00A6750D"/>
    <w:rsid w:val="00A67BF5"/>
    <w:rsid w:val="00A67D1E"/>
    <w:rsid w:val="00A702FD"/>
    <w:rsid w:val="00A71D30"/>
    <w:rsid w:val="00A74CA7"/>
    <w:rsid w:val="00A7606D"/>
    <w:rsid w:val="00A773F4"/>
    <w:rsid w:val="00A82127"/>
    <w:rsid w:val="00A832DD"/>
    <w:rsid w:val="00A84274"/>
    <w:rsid w:val="00A87114"/>
    <w:rsid w:val="00A878ED"/>
    <w:rsid w:val="00A8794B"/>
    <w:rsid w:val="00A92179"/>
    <w:rsid w:val="00A93284"/>
    <w:rsid w:val="00A94FDA"/>
    <w:rsid w:val="00A9547A"/>
    <w:rsid w:val="00A96CD5"/>
    <w:rsid w:val="00A97A46"/>
    <w:rsid w:val="00AA044B"/>
    <w:rsid w:val="00AA0839"/>
    <w:rsid w:val="00AA0D8B"/>
    <w:rsid w:val="00AA0DD2"/>
    <w:rsid w:val="00AA12C0"/>
    <w:rsid w:val="00AA1374"/>
    <w:rsid w:val="00AA18F2"/>
    <w:rsid w:val="00AA359C"/>
    <w:rsid w:val="00AA38B4"/>
    <w:rsid w:val="00AA38E6"/>
    <w:rsid w:val="00AA4566"/>
    <w:rsid w:val="00AA4B80"/>
    <w:rsid w:val="00AA52E9"/>
    <w:rsid w:val="00AA5315"/>
    <w:rsid w:val="00AA5C3F"/>
    <w:rsid w:val="00AA6DB2"/>
    <w:rsid w:val="00AA7231"/>
    <w:rsid w:val="00AB1816"/>
    <w:rsid w:val="00AB2391"/>
    <w:rsid w:val="00AB367B"/>
    <w:rsid w:val="00AB3A1A"/>
    <w:rsid w:val="00AB4844"/>
    <w:rsid w:val="00AB613E"/>
    <w:rsid w:val="00AB7EF3"/>
    <w:rsid w:val="00AC0212"/>
    <w:rsid w:val="00AC1338"/>
    <w:rsid w:val="00AC144F"/>
    <w:rsid w:val="00AC3E75"/>
    <w:rsid w:val="00AC4F63"/>
    <w:rsid w:val="00AC61AD"/>
    <w:rsid w:val="00AD0857"/>
    <w:rsid w:val="00AD10BB"/>
    <w:rsid w:val="00AD1E20"/>
    <w:rsid w:val="00AD42D8"/>
    <w:rsid w:val="00AD4352"/>
    <w:rsid w:val="00AD44CE"/>
    <w:rsid w:val="00AD47C7"/>
    <w:rsid w:val="00AD4C80"/>
    <w:rsid w:val="00AD5297"/>
    <w:rsid w:val="00AD53D6"/>
    <w:rsid w:val="00AD5A81"/>
    <w:rsid w:val="00AD6937"/>
    <w:rsid w:val="00AD7F50"/>
    <w:rsid w:val="00AE0A66"/>
    <w:rsid w:val="00AE15F2"/>
    <w:rsid w:val="00AE2100"/>
    <w:rsid w:val="00AE459D"/>
    <w:rsid w:val="00AE4960"/>
    <w:rsid w:val="00AE535D"/>
    <w:rsid w:val="00AE703A"/>
    <w:rsid w:val="00AE7320"/>
    <w:rsid w:val="00AF08FB"/>
    <w:rsid w:val="00AF17AD"/>
    <w:rsid w:val="00AF1DC0"/>
    <w:rsid w:val="00AF5AB4"/>
    <w:rsid w:val="00AF5E08"/>
    <w:rsid w:val="00AF6307"/>
    <w:rsid w:val="00AF7824"/>
    <w:rsid w:val="00B0159E"/>
    <w:rsid w:val="00B016BF"/>
    <w:rsid w:val="00B017B7"/>
    <w:rsid w:val="00B01DC4"/>
    <w:rsid w:val="00B02957"/>
    <w:rsid w:val="00B02F94"/>
    <w:rsid w:val="00B05161"/>
    <w:rsid w:val="00B07A93"/>
    <w:rsid w:val="00B1016F"/>
    <w:rsid w:val="00B11841"/>
    <w:rsid w:val="00B11AB1"/>
    <w:rsid w:val="00B12343"/>
    <w:rsid w:val="00B12FEA"/>
    <w:rsid w:val="00B13951"/>
    <w:rsid w:val="00B13EEC"/>
    <w:rsid w:val="00B140D5"/>
    <w:rsid w:val="00B14C49"/>
    <w:rsid w:val="00B15E6B"/>
    <w:rsid w:val="00B16F23"/>
    <w:rsid w:val="00B210FA"/>
    <w:rsid w:val="00B215C1"/>
    <w:rsid w:val="00B240F9"/>
    <w:rsid w:val="00B24B31"/>
    <w:rsid w:val="00B2548B"/>
    <w:rsid w:val="00B27A37"/>
    <w:rsid w:val="00B33C0C"/>
    <w:rsid w:val="00B33DCF"/>
    <w:rsid w:val="00B33E7E"/>
    <w:rsid w:val="00B35A6F"/>
    <w:rsid w:val="00B36ACF"/>
    <w:rsid w:val="00B40D7D"/>
    <w:rsid w:val="00B40E18"/>
    <w:rsid w:val="00B40F9D"/>
    <w:rsid w:val="00B41D43"/>
    <w:rsid w:val="00B4228F"/>
    <w:rsid w:val="00B43C7D"/>
    <w:rsid w:val="00B43F2D"/>
    <w:rsid w:val="00B457A1"/>
    <w:rsid w:val="00B45F7F"/>
    <w:rsid w:val="00B4776F"/>
    <w:rsid w:val="00B47FA6"/>
    <w:rsid w:val="00B508D0"/>
    <w:rsid w:val="00B50D80"/>
    <w:rsid w:val="00B51684"/>
    <w:rsid w:val="00B5189F"/>
    <w:rsid w:val="00B52A2B"/>
    <w:rsid w:val="00B53FB5"/>
    <w:rsid w:val="00B53FD0"/>
    <w:rsid w:val="00B54EE5"/>
    <w:rsid w:val="00B55FB7"/>
    <w:rsid w:val="00B5767E"/>
    <w:rsid w:val="00B57BB7"/>
    <w:rsid w:val="00B57F30"/>
    <w:rsid w:val="00B61B27"/>
    <w:rsid w:val="00B61FBA"/>
    <w:rsid w:val="00B6200B"/>
    <w:rsid w:val="00B63470"/>
    <w:rsid w:val="00B63D66"/>
    <w:rsid w:val="00B64358"/>
    <w:rsid w:val="00B64EB7"/>
    <w:rsid w:val="00B650ED"/>
    <w:rsid w:val="00B65AB6"/>
    <w:rsid w:val="00B6631F"/>
    <w:rsid w:val="00B67526"/>
    <w:rsid w:val="00B710F7"/>
    <w:rsid w:val="00B712EF"/>
    <w:rsid w:val="00B71C0A"/>
    <w:rsid w:val="00B71C3F"/>
    <w:rsid w:val="00B72038"/>
    <w:rsid w:val="00B72077"/>
    <w:rsid w:val="00B744FE"/>
    <w:rsid w:val="00B765B9"/>
    <w:rsid w:val="00B76C8C"/>
    <w:rsid w:val="00B8030F"/>
    <w:rsid w:val="00B82880"/>
    <w:rsid w:val="00B83448"/>
    <w:rsid w:val="00B83D01"/>
    <w:rsid w:val="00B8557C"/>
    <w:rsid w:val="00B85850"/>
    <w:rsid w:val="00B87DC3"/>
    <w:rsid w:val="00B92538"/>
    <w:rsid w:val="00B92D6F"/>
    <w:rsid w:val="00B92DD3"/>
    <w:rsid w:val="00B933C4"/>
    <w:rsid w:val="00B934B2"/>
    <w:rsid w:val="00B937B9"/>
    <w:rsid w:val="00B95580"/>
    <w:rsid w:val="00B97E19"/>
    <w:rsid w:val="00BA07B0"/>
    <w:rsid w:val="00BA172E"/>
    <w:rsid w:val="00BA1D6E"/>
    <w:rsid w:val="00BA4972"/>
    <w:rsid w:val="00BA52A0"/>
    <w:rsid w:val="00BA62C5"/>
    <w:rsid w:val="00BB1149"/>
    <w:rsid w:val="00BB1FD7"/>
    <w:rsid w:val="00BB219C"/>
    <w:rsid w:val="00BB276A"/>
    <w:rsid w:val="00BB29BE"/>
    <w:rsid w:val="00BB2D5A"/>
    <w:rsid w:val="00BB3285"/>
    <w:rsid w:val="00BB406E"/>
    <w:rsid w:val="00BB4F68"/>
    <w:rsid w:val="00BB51C7"/>
    <w:rsid w:val="00BB6A6B"/>
    <w:rsid w:val="00BC010A"/>
    <w:rsid w:val="00BC02CA"/>
    <w:rsid w:val="00BC04D0"/>
    <w:rsid w:val="00BC106C"/>
    <w:rsid w:val="00BC25C1"/>
    <w:rsid w:val="00BC4436"/>
    <w:rsid w:val="00BC4947"/>
    <w:rsid w:val="00BC50B2"/>
    <w:rsid w:val="00BC7822"/>
    <w:rsid w:val="00BC79D7"/>
    <w:rsid w:val="00BD0397"/>
    <w:rsid w:val="00BD12AC"/>
    <w:rsid w:val="00BD1573"/>
    <w:rsid w:val="00BD1CFE"/>
    <w:rsid w:val="00BD2636"/>
    <w:rsid w:val="00BD44E0"/>
    <w:rsid w:val="00BD4647"/>
    <w:rsid w:val="00BD48D9"/>
    <w:rsid w:val="00BD4D89"/>
    <w:rsid w:val="00BD516F"/>
    <w:rsid w:val="00BD5A9C"/>
    <w:rsid w:val="00BD7634"/>
    <w:rsid w:val="00BE1182"/>
    <w:rsid w:val="00BE2207"/>
    <w:rsid w:val="00BE3AC7"/>
    <w:rsid w:val="00BE4AEA"/>
    <w:rsid w:val="00BE506F"/>
    <w:rsid w:val="00BE5589"/>
    <w:rsid w:val="00BE58D6"/>
    <w:rsid w:val="00BE764C"/>
    <w:rsid w:val="00BE7789"/>
    <w:rsid w:val="00BF0C70"/>
    <w:rsid w:val="00BF13D5"/>
    <w:rsid w:val="00BF1D62"/>
    <w:rsid w:val="00BF2B22"/>
    <w:rsid w:val="00BF517C"/>
    <w:rsid w:val="00BF54EA"/>
    <w:rsid w:val="00BF668F"/>
    <w:rsid w:val="00BF7814"/>
    <w:rsid w:val="00BF7F7F"/>
    <w:rsid w:val="00C036D3"/>
    <w:rsid w:val="00C046D1"/>
    <w:rsid w:val="00C05458"/>
    <w:rsid w:val="00C0784F"/>
    <w:rsid w:val="00C10BA0"/>
    <w:rsid w:val="00C11CB4"/>
    <w:rsid w:val="00C11E3D"/>
    <w:rsid w:val="00C138BB"/>
    <w:rsid w:val="00C1516E"/>
    <w:rsid w:val="00C15EF6"/>
    <w:rsid w:val="00C164A2"/>
    <w:rsid w:val="00C16C2D"/>
    <w:rsid w:val="00C1751C"/>
    <w:rsid w:val="00C17A21"/>
    <w:rsid w:val="00C21651"/>
    <w:rsid w:val="00C21FA8"/>
    <w:rsid w:val="00C22633"/>
    <w:rsid w:val="00C24707"/>
    <w:rsid w:val="00C24DF0"/>
    <w:rsid w:val="00C259E9"/>
    <w:rsid w:val="00C26062"/>
    <w:rsid w:val="00C30B15"/>
    <w:rsid w:val="00C31158"/>
    <w:rsid w:val="00C317C8"/>
    <w:rsid w:val="00C32431"/>
    <w:rsid w:val="00C32E68"/>
    <w:rsid w:val="00C33A33"/>
    <w:rsid w:val="00C33D02"/>
    <w:rsid w:val="00C35328"/>
    <w:rsid w:val="00C35EFE"/>
    <w:rsid w:val="00C37EF8"/>
    <w:rsid w:val="00C4046D"/>
    <w:rsid w:val="00C43DCD"/>
    <w:rsid w:val="00C444E3"/>
    <w:rsid w:val="00C46114"/>
    <w:rsid w:val="00C47FA3"/>
    <w:rsid w:val="00C50C68"/>
    <w:rsid w:val="00C52257"/>
    <w:rsid w:val="00C538BA"/>
    <w:rsid w:val="00C53953"/>
    <w:rsid w:val="00C54FF6"/>
    <w:rsid w:val="00C55211"/>
    <w:rsid w:val="00C55AFD"/>
    <w:rsid w:val="00C56C88"/>
    <w:rsid w:val="00C56D72"/>
    <w:rsid w:val="00C571D0"/>
    <w:rsid w:val="00C60241"/>
    <w:rsid w:val="00C6167C"/>
    <w:rsid w:val="00C61E68"/>
    <w:rsid w:val="00C6343F"/>
    <w:rsid w:val="00C64396"/>
    <w:rsid w:val="00C64708"/>
    <w:rsid w:val="00C6525D"/>
    <w:rsid w:val="00C66560"/>
    <w:rsid w:val="00C66C77"/>
    <w:rsid w:val="00C6745A"/>
    <w:rsid w:val="00C70AA7"/>
    <w:rsid w:val="00C7310A"/>
    <w:rsid w:val="00C7357E"/>
    <w:rsid w:val="00C73D49"/>
    <w:rsid w:val="00C741E2"/>
    <w:rsid w:val="00C7421A"/>
    <w:rsid w:val="00C75A26"/>
    <w:rsid w:val="00C75C00"/>
    <w:rsid w:val="00C75C87"/>
    <w:rsid w:val="00C80556"/>
    <w:rsid w:val="00C80AEE"/>
    <w:rsid w:val="00C80D5B"/>
    <w:rsid w:val="00C825E4"/>
    <w:rsid w:val="00C82BE0"/>
    <w:rsid w:val="00C839C0"/>
    <w:rsid w:val="00C83EAC"/>
    <w:rsid w:val="00C855DD"/>
    <w:rsid w:val="00C85796"/>
    <w:rsid w:val="00C857B4"/>
    <w:rsid w:val="00C87A05"/>
    <w:rsid w:val="00C907D0"/>
    <w:rsid w:val="00C90C74"/>
    <w:rsid w:val="00C92C89"/>
    <w:rsid w:val="00C9309F"/>
    <w:rsid w:val="00C93A96"/>
    <w:rsid w:val="00C93BC8"/>
    <w:rsid w:val="00C94241"/>
    <w:rsid w:val="00C942E7"/>
    <w:rsid w:val="00C94431"/>
    <w:rsid w:val="00C96EE3"/>
    <w:rsid w:val="00C976BF"/>
    <w:rsid w:val="00CA025F"/>
    <w:rsid w:val="00CA1AF4"/>
    <w:rsid w:val="00CA26C4"/>
    <w:rsid w:val="00CA2923"/>
    <w:rsid w:val="00CA3581"/>
    <w:rsid w:val="00CA4558"/>
    <w:rsid w:val="00CA485C"/>
    <w:rsid w:val="00CA4EF5"/>
    <w:rsid w:val="00CA507D"/>
    <w:rsid w:val="00CA61FA"/>
    <w:rsid w:val="00CA68B7"/>
    <w:rsid w:val="00CA7592"/>
    <w:rsid w:val="00CB0BC5"/>
    <w:rsid w:val="00CB1A0D"/>
    <w:rsid w:val="00CB1ECE"/>
    <w:rsid w:val="00CB643D"/>
    <w:rsid w:val="00CB6954"/>
    <w:rsid w:val="00CB6D35"/>
    <w:rsid w:val="00CB6E2E"/>
    <w:rsid w:val="00CB7EE2"/>
    <w:rsid w:val="00CB7F5D"/>
    <w:rsid w:val="00CC03ED"/>
    <w:rsid w:val="00CC142C"/>
    <w:rsid w:val="00CC1A1A"/>
    <w:rsid w:val="00CC1C17"/>
    <w:rsid w:val="00CC2085"/>
    <w:rsid w:val="00CC3700"/>
    <w:rsid w:val="00CC456E"/>
    <w:rsid w:val="00CC4CF5"/>
    <w:rsid w:val="00CC5176"/>
    <w:rsid w:val="00CC5816"/>
    <w:rsid w:val="00CC6869"/>
    <w:rsid w:val="00CD05B8"/>
    <w:rsid w:val="00CD0981"/>
    <w:rsid w:val="00CD2891"/>
    <w:rsid w:val="00CD411D"/>
    <w:rsid w:val="00CD4C90"/>
    <w:rsid w:val="00CD4D1E"/>
    <w:rsid w:val="00CD567E"/>
    <w:rsid w:val="00CE1453"/>
    <w:rsid w:val="00CE188F"/>
    <w:rsid w:val="00CE2786"/>
    <w:rsid w:val="00CE2A83"/>
    <w:rsid w:val="00CE2D86"/>
    <w:rsid w:val="00CE2FEF"/>
    <w:rsid w:val="00CE50B5"/>
    <w:rsid w:val="00CE539E"/>
    <w:rsid w:val="00CE5FD6"/>
    <w:rsid w:val="00CF0B81"/>
    <w:rsid w:val="00CF0E2C"/>
    <w:rsid w:val="00CF136F"/>
    <w:rsid w:val="00CF1D05"/>
    <w:rsid w:val="00CF3261"/>
    <w:rsid w:val="00CF595E"/>
    <w:rsid w:val="00CF5D17"/>
    <w:rsid w:val="00CF6186"/>
    <w:rsid w:val="00CF6EF7"/>
    <w:rsid w:val="00CF7097"/>
    <w:rsid w:val="00D01D0B"/>
    <w:rsid w:val="00D03472"/>
    <w:rsid w:val="00D05473"/>
    <w:rsid w:val="00D058DA"/>
    <w:rsid w:val="00D11DA9"/>
    <w:rsid w:val="00D1251D"/>
    <w:rsid w:val="00D12AD2"/>
    <w:rsid w:val="00D13160"/>
    <w:rsid w:val="00D13AC1"/>
    <w:rsid w:val="00D13E54"/>
    <w:rsid w:val="00D14144"/>
    <w:rsid w:val="00D1486B"/>
    <w:rsid w:val="00D20D94"/>
    <w:rsid w:val="00D20FB7"/>
    <w:rsid w:val="00D218DD"/>
    <w:rsid w:val="00D21CF2"/>
    <w:rsid w:val="00D227DD"/>
    <w:rsid w:val="00D238BA"/>
    <w:rsid w:val="00D249F8"/>
    <w:rsid w:val="00D255AD"/>
    <w:rsid w:val="00D25A73"/>
    <w:rsid w:val="00D26123"/>
    <w:rsid w:val="00D27316"/>
    <w:rsid w:val="00D27F23"/>
    <w:rsid w:val="00D30601"/>
    <w:rsid w:val="00D30ABD"/>
    <w:rsid w:val="00D31BDB"/>
    <w:rsid w:val="00D3256F"/>
    <w:rsid w:val="00D33B29"/>
    <w:rsid w:val="00D34B88"/>
    <w:rsid w:val="00D365E0"/>
    <w:rsid w:val="00D37CBA"/>
    <w:rsid w:val="00D400A5"/>
    <w:rsid w:val="00D40808"/>
    <w:rsid w:val="00D40C59"/>
    <w:rsid w:val="00D419D9"/>
    <w:rsid w:val="00D42526"/>
    <w:rsid w:val="00D4262D"/>
    <w:rsid w:val="00D431E9"/>
    <w:rsid w:val="00D432D3"/>
    <w:rsid w:val="00D43B4E"/>
    <w:rsid w:val="00D45E50"/>
    <w:rsid w:val="00D46A7D"/>
    <w:rsid w:val="00D46F17"/>
    <w:rsid w:val="00D47B97"/>
    <w:rsid w:val="00D47D4B"/>
    <w:rsid w:val="00D503EE"/>
    <w:rsid w:val="00D504DB"/>
    <w:rsid w:val="00D511CA"/>
    <w:rsid w:val="00D511EE"/>
    <w:rsid w:val="00D51D73"/>
    <w:rsid w:val="00D526C6"/>
    <w:rsid w:val="00D53663"/>
    <w:rsid w:val="00D5383A"/>
    <w:rsid w:val="00D53B58"/>
    <w:rsid w:val="00D552C5"/>
    <w:rsid w:val="00D5642E"/>
    <w:rsid w:val="00D570D1"/>
    <w:rsid w:val="00D57F0B"/>
    <w:rsid w:val="00D601B6"/>
    <w:rsid w:val="00D60593"/>
    <w:rsid w:val="00D613CF"/>
    <w:rsid w:val="00D64AAD"/>
    <w:rsid w:val="00D65741"/>
    <w:rsid w:val="00D65CC6"/>
    <w:rsid w:val="00D65D1F"/>
    <w:rsid w:val="00D67C7A"/>
    <w:rsid w:val="00D67F5B"/>
    <w:rsid w:val="00D71E0A"/>
    <w:rsid w:val="00D74906"/>
    <w:rsid w:val="00D74D5B"/>
    <w:rsid w:val="00D7718E"/>
    <w:rsid w:val="00D77A8A"/>
    <w:rsid w:val="00D77AF3"/>
    <w:rsid w:val="00D805E2"/>
    <w:rsid w:val="00D83D23"/>
    <w:rsid w:val="00D858DC"/>
    <w:rsid w:val="00D85BB0"/>
    <w:rsid w:val="00D86964"/>
    <w:rsid w:val="00D86FDE"/>
    <w:rsid w:val="00D90565"/>
    <w:rsid w:val="00D91C4F"/>
    <w:rsid w:val="00D91FB4"/>
    <w:rsid w:val="00D933EC"/>
    <w:rsid w:val="00D93925"/>
    <w:rsid w:val="00D949D2"/>
    <w:rsid w:val="00D94B31"/>
    <w:rsid w:val="00D94DB8"/>
    <w:rsid w:val="00D955B7"/>
    <w:rsid w:val="00D95658"/>
    <w:rsid w:val="00DA0E60"/>
    <w:rsid w:val="00DA0EB6"/>
    <w:rsid w:val="00DA2885"/>
    <w:rsid w:val="00DA2BC8"/>
    <w:rsid w:val="00DA35D6"/>
    <w:rsid w:val="00DA53AD"/>
    <w:rsid w:val="00DA65F9"/>
    <w:rsid w:val="00DA7EB9"/>
    <w:rsid w:val="00DA7ECF"/>
    <w:rsid w:val="00DB0613"/>
    <w:rsid w:val="00DB2E70"/>
    <w:rsid w:val="00DB494F"/>
    <w:rsid w:val="00DB4ECC"/>
    <w:rsid w:val="00DB66B8"/>
    <w:rsid w:val="00DB6709"/>
    <w:rsid w:val="00DC0190"/>
    <w:rsid w:val="00DC1B1E"/>
    <w:rsid w:val="00DC5657"/>
    <w:rsid w:val="00DC58A5"/>
    <w:rsid w:val="00DC5A47"/>
    <w:rsid w:val="00DC73F9"/>
    <w:rsid w:val="00DD07F2"/>
    <w:rsid w:val="00DD2AB4"/>
    <w:rsid w:val="00DD587D"/>
    <w:rsid w:val="00DD668F"/>
    <w:rsid w:val="00DD681B"/>
    <w:rsid w:val="00DD76E8"/>
    <w:rsid w:val="00DE047D"/>
    <w:rsid w:val="00DE0AFA"/>
    <w:rsid w:val="00DE19BB"/>
    <w:rsid w:val="00DE1AB9"/>
    <w:rsid w:val="00DE28C6"/>
    <w:rsid w:val="00DE3430"/>
    <w:rsid w:val="00DE5CDC"/>
    <w:rsid w:val="00DE613E"/>
    <w:rsid w:val="00DE6209"/>
    <w:rsid w:val="00DE6886"/>
    <w:rsid w:val="00DF0B8C"/>
    <w:rsid w:val="00DF13B0"/>
    <w:rsid w:val="00DF19E6"/>
    <w:rsid w:val="00DF1A82"/>
    <w:rsid w:val="00DF29EB"/>
    <w:rsid w:val="00DF419D"/>
    <w:rsid w:val="00DF5876"/>
    <w:rsid w:val="00DF5E67"/>
    <w:rsid w:val="00DF6C2D"/>
    <w:rsid w:val="00DF6F89"/>
    <w:rsid w:val="00E00915"/>
    <w:rsid w:val="00E022D8"/>
    <w:rsid w:val="00E03D21"/>
    <w:rsid w:val="00E052C4"/>
    <w:rsid w:val="00E054F8"/>
    <w:rsid w:val="00E0559D"/>
    <w:rsid w:val="00E064E3"/>
    <w:rsid w:val="00E07B1A"/>
    <w:rsid w:val="00E10380"/>
    <w:rsid w:val="00E115C7"/>
    <w:rsid w:val="00E13B18"/>
    <w:rsid w:val="00E14811"/>
    <w:rsid w:val="00E15024"/>
    <w:rsid w:val="00E15378"/>
    <w:rsid w:val="00E17D02"/>
    <w:rsid w:val="00E202F9"/>
    <w:rsid w:val="00E2150B"/>
    <w:rsid w:val="00E226F1"/>
    <w:rsid w:val="00E228BE"/>
    <w:rsid w:val="00E22B38"/>
    <w:rsid w:val="00E237B7"/>
    <w:rsid w:val="00E237EB"/>
    <w:rsid w:val="00E23ED6"/>
    <w:rsid w:val="00E24320"/>
    <w:rsid w:val="00E25E61"/>
    <w:rsid w:val="00E25F97"/>
    <w:rsid w:val="00E26CB0"/>
    <w:rsid w:val="00E2747F"/>
    <w:rsid w:val="00E27C25"/>
    <w:rsid w:val="00E3061A"/>
    <w:rsid w:val="00E31C53"/>
    <w:rsid w:val="00E31F0C"/>
    <w:rsid w:val="00E332E9"/>
    <w:rsid w:val="00E33C5A"/>
    <w:rsid w:val="00E3529F"/>
    <w:rsid w:val="00E36F0D"/>
    <w:rsid w:val="00E42039"/>
    <w:rsid w:val="00E42A2A"/>
    <w:rsid w:val="00E42C25"/>
    <w:rsid w:val="00E45F41"/>
    <w:rsid w:val="00E464E5"/>
    <w:rsid w:val="00E50AC5"/>
    <w:rsid w:val="00E51089"/>
    <w:rsid w:val="00E517FD"/>
    <w:rsid w:val="00E5343A"/>
    <w:rsid w:val="00E5440F"/>
    <w:rsid w:val="00E556E7"/>
    <w:rsid w:val="00E5783D"/>
    <w:rsid w:val="00E57BB1"/>
    <w:rsid w:val="00E63ED5"/>
    <w:rsid w:val="00E64251"/>
    <w:rsid w:val="00E64974"/>
    <w:rsid w:val="00E6610B"/>
    <w:rsid w:val="00E667D7"/>
    <w:rsid w:val="00E66E5E"/>
    <w:rsid w:val="00E678E1"/>
    <w:rsid w:val="00E71545"/>
    <w:rsid w:val="00E71804"/>
    <w:rsid w:val="00E73443"/>
    <w:rsid w:val="00E74190"/>
    <w:rsid w:val="00E749B5"/>
    <w:rsid w:val="00E75150"/>
    <w:rsid w:val="00E75D26"/>
    <w:rsid w:val="00E7739C"/>
    <w:rsid w:val="00E81D63"/>
    <w:rsid w:val="00E8787E"/>
    <w:rsid w:val="00E901B4"/>
    <w:rsid w:val="00E902FB"/>
    <w:rsid w:val="00E905BE"/>
    <w:rsid w:val="00E92955"/>
    <w:rsid w:val="00E92D47"/>
    <w:rsid w:val="00E933E2"/>
    <w:rsid w:val="00E94439"/>
    <w:rsid w:val="00E94F32"/>
    <w:rsid w:val="00E95CE1"/>
    <w:rsid w:val="00E967DA"/>
    <w:rsid w:val="00E96B92"/>
    <w:rsid w:val="00E96BEB"/>
    <w:rsid w:val="00E96F90"/>
    <w:rsid w:val="00E9720D"/>
    <w:rsid w:val="00EA0569"/>
    <w:rsid w:val="00EA0BD0"/>
    <w:rsid w:val="00EA0EDE"/>
    <w:rsid w:val="00EA1A58"/>
    <w:rsid w:val="00EA1FE0"/>
    <w:rsid w:val="00EA584F"/>
    <w:rsid w:val="00EA6E6B"/>
    <w:rsid w:val="00EA7870"/>
    <w:rsid w:val="00EA7BCF"/>
    <w:rsid w:val="00EB1330"/>
    <w:rsid w:val="00EB1F5F"/>
    <w:rsid w:val="00EB1FDF"/>
    <w:rsid w:val="00EB20A9"/>
    <w:rsid w:val="00EB26DE"/>
    <w:rsid w:val="00EB3518"/>
    <w:rsid w:val="00EB4CF8"/>
    <w:rsid w:val="00EB4FC0"/>
    <w:rsid w:val="00EB5268"/>
    <w:rsid w:val="00EB624F"/>
    <w:rsid w:val="00EB636E"/>
    <w:rsid w:val="00EB673C"/>
    <w:rsid w:val="00EB6F13"/>
    <w:rsid w:val="00EC40FE"/>
    <w:rsid w:val="00EC5742"/>
    <w:rsid w:val="00EC6B78"/>
    <w:rsid w:val="00EC7A14"/>
    <w:rsid w:val="00ED0A9C"/>
    <w:rsid w:val="00ED1479"/>
    <w:rsid w:val="00ED1D59"/>
    <w:rsid w:val="00ED1F90"/>
    <w:rsid w:val="00ED366A"/>
    <w:rsid w:val="00ED37D3"/>
    <w:rsid w:val="00ED4AA1"/>
    <w:rsid w:val="00ED52B7"/>
    <w:rsid w:val="00EE119E"/>
    <w:rsid w:val="00EE1499"/>
    <w:rsid w:val="00EE1C0E"/>
    <w:rsid w:val="00EE2F20"/>
    <w:rsid w:val="00EE31BA"/>
    <w:rsid w:val="00EE353E"/>
    <w:rsid w:val="00EE3741"/>
    <w:rsid w:val="00EE439F"/>
    <w:rsid w:val="00EE5E66"/>
    <w:rsid w:val="00EE7F02"/>
    <w:rsid w:val="00EF0F53"/>
    <w:rsid w:val="00EF1810"/>
    <w:rsid w:val="00EF2015"/>
    <w:rsid w:val="00EF2CF3"/>
    <w:rsid w:val="00EF4158"/>
    <w:rsid w:val="00EF4654"/>
    <w:rsid w:val="00EF4C56"/>
    <w:rsid w:val="00EF552D"/>
    <w:rsid w:val="00EF59B3"/>
    <w:rsid w:val="00EF6A33"/>
    <w:rsid w:val="00F017DD"/>
    <w:rsid w:val="00F02B90"/>
    <w:rsid w:val="00F02FBE"/>
    <w:rsid w:val="00F03C99"/>
    <w:rsid w:val="00F03FD7"/>
    <w:rsid w:val="00F044DF"/>
    <w:rsid w:val="00F051B2"/>
    <w:rsid w:val="00F0676A"/>
    <w:rsid w:val="00F074CE"/>
    <w:rsid w:val="00F07F00"/>
    <w:rsid w:val="00F110C3"/>
    <w:rsid w:val="00F11543"/>
    <w:rsid w:val="00F13B54"/>
    <w:rsid w:val="00F14B37"/>
    <w:rsid w:val="00F15139"/>
    <w:rsid w:val="00F15B50"/>
    <w:rsid w:val="00F1656A"/>
    <w:rsid w:val="00F17645"/>
    <w:rsid w:val="00F205EC"/>
    <w:rsid w:val="00F20791"/>
    <w:rsid w:val="00F20FBA"/>
    <w:rsid w:val="00F23176"/>
    <w:rsid w:val="00F25DD2"/>
    <w:rsid w:val="00F25E6F"/>
    <w:rsid w:val="00F2648C"/>
    <w:rsid w:val="00F30D03"/>
    <w:rsid w:val="00F30F17"/>
    <w:rsid w:val="00F31667"/>
    <w:rsid w:val="00F32C54"/>
    <w:rsid w:val="00F33D52"/>
    <w:rsid w:val="00F34BF8"/>
    <w:rsid w:val="00F405A1"/>
    <w:rsid w:val="00F412C0"/>
    <w:rsid w:val="00F418F4"/>
    <w:rsid w:val="00F41E5F"/>
    <w:rsid w:val="00F42A68"/>
    <w:rsid w:val="00F42D28"/>
    <w:rsid w:val="00F43E3D"/>
    <w:rsid w:val="00F446C0"/>
    <w:rsid w:val="00F44D34"/>
    <w:rsid w:val="00F44D9D"/>
    <w:rsid w:val="00F458A2"/>
    <w:rsid w:val="00F46265"/>
    <w:rsid w:val="00F46F89"/>
    <w:rsid w:val="00F4740E"/>
    <w:rsid w:val="00F47458"/>
    <w:rsid w:val="00F47992"/>
    <w:rsid w:val="00F51DB5"/>
    <w:rsid w:val="00F528F7"/>
    <w:rsid w:val="00F531D2"/>
    <w:rsid w:val="00F532AE"/>
    <w:rsid w:val="00F55301"/>
    <w:rsid w:val="00F55A6B"/>
    <w:rsid w:val="00F5670C"/>
    <w:rsid w:val="00F601BD"/>
    <w:rsid w:val="00F60A9E"/>
    <w:rsid w:val="00F625F5"/>
    <w:rsid w:val="00F62686"/>
    <w:rsid w:val="00F62ACB"/>
    <w:rsid w:val="00F63E0A"/>
    <w:rsid w:val="00F640D8"/>
    <w:rsid w:val="00F65A1D"/>
    <w:rsid w:val="00F66813"/>
    <w:rsid w:val="00F6769F"/>
    <w:rsid w:val="00F67E40"/>
    <w:rsid w:val="00F70A1A"/>
    <w:rsid w:val="00F70D64"/>
    <w:rsid w:val="00F718AB"/>
    <w:rsid w:val="00F723AB"/>
    <w:rsid w:val="00F75AF1"/>
    <w:rsid w:val="00F75CFE"/>
    <w:rsid w:val="00F76558"/>
    <w:rsid w:val="00F77202"/>
    <w:rsid w:val="00F80CA9"/>
    <w:rsid w:val="00F82418"/>
    <w:rsid w:val="00F83DE0"/>
    <w:rsid w:val="00F83F6A"/>
    <w:rsid w:val="00F8498C"/>
    <w:rsid w:val="00F86753"/>
    <w:rsid w:val="00F86A96"/>
    <w:rsid w:val="00F91533"/>
    <w:rsid w:val="00F91F2E"/>
    <w:rsid w:val="00F9261F"/>
    <w:rsid w:val="00F93BA6"/>
    <w:rsid w:val="00F9462B"/>
    <w:rsid w:val="00F94EC7"/>
    <w:rsid w:val="00F9593C"/>
    <w:rsid w:val="00F95C40"/>
    <w:rsid w:val="00F95E5C"/>
    <w:rsid w:val="00F96327"/>
    <w:rsid w:val="00FA0117"/>
    <w:rsid w:val="00FA4CEB"/>
    <w:rsid w:val="00FA51DD"/>
    <w:rsid w:val="00FA7EA3"/>
    <w:rsid w:val="00FB11A3"/>
    <w:rsid w:val="00FB18E7"/>
    <w:rsid w:val="00FB1BD6"/>
    <w:rsid w:val="00FB1EAC"/>
    <w:rsid w:val="00FB2AFF"/>
    <w:rsid w:val="00FB43D2"/>
    <w:rsid w:val="00FB4BEF"/>
    <w:rsid w:val="00FB4CD7"/>
    <w:rsid w:val="00FB4DB1"/>
    <w:rsid w:val="00FB50E0"/>
    <w:rsid w:val="00FB581E"/>
    <w:rsid w:val="00FC051A"/>
    <w:rsid w:val="00FC12E4"/>
    <w:rsid w:val="00FC13AD"/>
    <w:rsid w:val="00FC32A3"/>
    <w:rsid w:val="00FC32D3"/>
    <w:rsid w:val="00FC3766"/>
    <w:rsid w:val="00FC3B98"/>
    <w:rsid w:val="00FC4098"/>
    <w:rsid w:val="00FC4A44"/>
    <w:rsid w:val="00FC5A10"/>
    <w:rsid w:val="00FC63EA"/>
    <w:rsid w:val="00FC6BB2"/>
    <w:rsid w:val="00FC77B5"/>
    <w:rsid w:val="00FC7AD2"/>
    <w:rsid w:val="00FD0C92"/>
    <w:rsid w:val="00FD43B0"/>
    <w:rsid w:val="00FD4676"/>
    <w:rsid w:val="00FD6126"/>
    <w:rsid w:val="00FD73EE"/>
    <w:rsid w:val="00FD7738"/>
    <w:rsid w:val="00FD7AD1"/>
    <w:rsid w:val="00FE1E08"/>
    <w:rsid w:val="00FE2128"/>
    <w:rsid w:val="00FE2353"/>
    <w:rsid w:val="00FE2641"/>
    <w:rsid w:val="00FE2B18"/>
    <w:rsid w:val="00FE4F02"/>
    <w:rsid w:val="00FE6C34"/>
    <w:rsid w:val="00FE6F70"/>
    <w:rsid w:val="00FE703F"/>
    <w:rsid w:val="00FE72DD"/>
    <w:rsid w:val="00FE76E7"/>
    <w:rsid w:val="00FE7DEB"/>
    <w:rsid w:val="00FF00EC"/>
    <w:rsid w:val="00FF03D3"/>
    <w:rsid w:val="00FF040A"/>
    <w:rsid w:val="00FF0E86"/>
    <w:rsid w:val="00FF126E"/>
    <w:rsid w:val="00FF2695"/>
    <w:rsid w:val="00FF306C"/>
    <w:rsid w:val="00FF3F48"/>
    <w:rsid w:val="00FF4030"/>
    <w:rsid w:val="00FF443A"/>
    <w:rsid w:val="00FF6455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95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50E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0E9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0E9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0E9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0E9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0E9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0E9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0E9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0E9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850E9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850E9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850E9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850E9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850E95"/>
    <w:rPr>
      <w:rFonts w:ascii="Arial" w:eastAsia="Times New Roman" w:hAnsi="Arial" w:cs="Times New Roman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850E9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850E95"/>
    <w:rPr>
      <w:rFonts w:ascii="Arial" w:eastAsia="Times New Roman" w:hAnsi="Arial" w:cs="Times New Roman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9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0E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50E95"/>
    <w:rPr>
      <w:rFonts w:ascii="Times" w:eastAsia="Times New Roman" w:hAnsi="Times" w:cs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850E9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850E95"/>
    <w:rPr>
      <w:rFonts w:ascii="Times" w:eastAsia="Times" w:hAnsi="Times" w:cs="Times New Roman"/>
      <w:sz w:val="24"/>
    </w:rPr>
  </w:style>
  <w:style w:type="paragraph" w:customStyle="1" w:styleId="BodyText0">
    <w:name w:val="BodyText"/>
    <w:basedOn w:val="Normal"/>
    <w:link w:val="BodyTextChar0"/>
    <w:rsid w:val="00850E9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850E9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850E95"/>
    <w:pPr>
      <w:numPr>
        <w:numId w:val="6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50E95"/>
    <w:pPr>
      <w:numPr>
        <w:ilvl w:val="1"/>
        <w:numId w:val="6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850E9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850E95"/>
    <w:pPr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850E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850E9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850E9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850E95"/>
    <w:rPr>
      <w:rFonts w:ascii="Arial" w:hAnsi="Arial" w:cs="Times New Roman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850E95"/>
    <w:rPr>
      <w:rFonts w:ascii="Arial" w:hAnsi="Arial" w:cs="Times New Roman"/>
      <w:b/>
      <w:bCs/>
      <w:sz w:val="18"/>
      <w:szCs w:val="22"/>
    </w:rPr>
  </w:style>
  <w:style w:type="paragraph" w:customStyle="1" w:styleId="CERTableText9pt">
    <w:name w:val="CER TableText9pt"/>
    <w:uiPriority w:val="99"/>
    <w:rsid w:val="00850E95"/>
    <w:pPr>
      <w:spacing w:after="60"/>
    </w:pPr>
    <w:rPr>
      <w:rFonts w:ascii="Arial" w:eastAsia="Times New Roman" w:hAnsi="Arial" w:cs="Times New Roman"/>
      <w:sz w:val="18"/>
    </w:rPr>
  </w:style>
  <w:style w:type="paragraph" w:customStyle="1" w:styleId="ChapterHeading">
    <w:name w:val="ChapterHeading"/>
    <w:qFormat/>
    <w:rsid w:val="00850E95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850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0E9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850E9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0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0E95"/>
    <w:rPr>
      <w:rFonts w:cs="Times New Roman"/>
      <w:b/>
      <w:bCs/>
    </w:rPr>
  </w:style>
  <w:style w:type="paragraph" w:customStyle="1" w:styleId="Contents">
    <w:name w:val="Contents"/>
    <w:qFormat/>
    <w:rsid w:val="00850E95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850E95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50E9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0E95"/>
    <w:rPr>
      <w:color w:val="800080" w:themeColor="followedHyperlink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4D6CE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50E95"/>
    <w:rPr>
      <w:rFonts w:ascii="Times New Roman" w:eastAsia="Times New Roman" w:hAnsi="Times New Roman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4D4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95"/>
    <w:rPr>
      <w:rFonts w:ascii="Times" w:eastAsia="Times New Roman" w:hAnsi="Times" w:cs="Times New Roman"/>
      <w:sz w:val="24"/>
    </w:rPr>
  </w:style>
  <w:style w:type="paragraph" w:customStyle="1" w:styleId="FrontMatterHead">
    <w:name w:val="FrontMatterHead"/>
    <w:qFormat/>
    <w:rsid w:val="00850E95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FrontMatterSubhead">
    <w:name w:val="FrontMatterSubhead"/>
    <w:qFormat/>
    <w:rsid w:val="00850E95"/>
    <w:pPr>
      <w:keepNext/>
      <w:spacing w:before="120"/>
    </w:pPr>
    <w:rPr>
      <w:rFonts w:ascii="Arial" w:hAnsi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850E9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0E95"/>
    <w:rPr>
      <w:rFonts w:cs="Times New Roman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850E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0E95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50E95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850E95"/>
    <w:rPr>
      <w:rFonts w:ascii="Times" w:eastAsia="Times New Roman" w:hAnsi="Time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850E95"/>
    <w:rPr>
      <w:rFonts w:ascii="Times" w:eastAsia="Times New Roman" w:hAnsi="Times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850E95"/>
    <w:rPr>
      <w:rFonts w:ascii="Times" w:eastAsia="Times New Roman" w:hAnsi="Times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850E95"/>
    <w:rPr>
      <w:rFonts w:ascii="Times" w:eastAsia="Times New Roman" w:hAnsi="Times" w:cs="Times New Roman"/>
      <w:b/>
      <w:sz w:val="28"/>
    </w:rPr>
  </w:style>
  <w:style w:type="paragraph" w:customStyle="1" w:styleId="HeadingA">
    <w:name w:val="Heading A"/>
    <w:basedOn w:val="Normal"/>
    <w:rsid w:val="00850E9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850E95"/>
    <w:rPr>
      <w:color w:val="0000FF" w:themeColor="hyperlink"/>
      <w:u w:val="single"/>
    </w:rPr>
  </w:style>
  <w:style w:type="paragraph" w:customStyle="1" w:styleId="Investigators">
    <w:name w:val="Investigators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E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eyQuestion">
    <w:name w:val="KeyQuestion"/>
    <w:rsid w:val="00850E95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850E9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850E95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0E9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850E95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850E95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850E95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850E95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50E95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50E95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50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0E95"/>
    <w:rPr>
      <w:rFonts w:ascii="Times" w:eastAsia="Times New Roman" w:hAnsi="Times" w:cs="Times New Roman"/>
      <w:sz w:val="24"/>
    </w:rPr>
  </w:style>
  <w:style w:type="paragraph" w:styleId="NormalWeb">
    <w:name w:val="Normal (Web)"/>
    <w:basedOn w:val="Normal"/>
    <w:uiPriority w:val="99"/>
    <w:semiHidden/>
    <w:rsid w:val="00850E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850E95"/>
    <w:pPr>
      <w:numPr>
        <w:numId w:val="7"/>
      </w:numPr>
    </w:pPr>
  </w:style>
  <w:style w:type="paragraph" w:customStyle="1" w:styleId="NumberLine">
    <w:name w:val="NumberLine"/>
    <w:qFormat/>
    <w:rsid w:val="00850E95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850E95"/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850E95"/>
  </w:style>
  <w:style w:type="paragraph" w:customStyle="1" w:styleId="PageNumber0">
    <w:name w:val="PageNumber"/>
    <w:qFormat/>
    <w:rsid w:val="00850E95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850E95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850E95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ReportSubtitle">
    <w:name w:val="ReportSubtitle"/>
    <w:qFormat/>
    <w:rsid w:val="00850E95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850E95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850E95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850E95"/>
    <w:pPr>
      <w:pBdr>
        <w:bottom w:val="single" w:sz="12" w:space="1" w:color="auto"/>
      </w:pBdr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850E95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850E95"/>
    <w:pPr>
      <w:keepLines/>
      <w:numPr>
        <w:numId w:val="8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50E95"/>
  </w:style>
  <w:style w:type="paragraph" w:customStyle="1" w:styleId="TableBoldText">
    <w:name w:val="TableBoldText"/>
    <w:qFormat/>
    <w:rsid w:val="00850E95"/>
    <w:rPr>
      <w:rFonts w:ascii="Arial" w:hAnsi="Arial"/>
      <w:b/>
      <w:sz w:val="18"/>
      <w:szCs w:val="18"/>
    </w:rPr>
  </w:style>
  <w:style w:type="paragraph" w:customStyle="1" w:styleId="TableCenteredText">
    <w:name w:val="TableCenteredText"/>
    <w:qFormat/>
    <w:rsid w:val="00850E95"/>
    <w:pPr>
      <w:jc w:val="center"/>
    </w:pPr>
    <w:rPr>
      <w:rFonts w:ascii="Arial" w:hAnsi="Arial"/>
      <w:sz w:val="18"/>
      <w:szCs w:val="18"/>
    </w:rPr>
  </w:style>
  <w:style w:type="paragraph" w:customStyle="1" w:styleId="TableColumnHead">
    <w:name w:val="TableColumnHead"/>
    <w:qFormat/>
    <w:rsid w:val="00850E95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LeftText">
    <w:name w:val="TableLeftText"/>
    <w:qFormat/>
    <w:rsid w:val="00850E95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850E95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850E95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850E95"/>
    <w:rPr>
      <w:rFonts w:ascii="Arial" w:hAnsi="Arial"/>
      <w:sz w:val="18"/>
      <w:szCs w:val="18"/>
    </w:rPr>
  </w:style>
  <w:style w:type="paragraph" w:customStyle="1" w:styleId="TableTitle">
    <w:name w:val="TableTitle"/>
    <w:link w:val="TableTitleChar"/>
    <w:qFormat/>
    <w:rsid w:val="00850E95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rsid w:val="00850E95"/>
    <w:rPr>
      <w:rFonts w:ascii="Arial" w:hAnsi="Arial" w:cs="Times New Roman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850E9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850E9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850E9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850E9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E9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50E95"/>
    <w:rPr>
      <w:rFonts w:ascii="Times" w:eastAsia="Times New Roman" w:hAnsi="Times" w:cs="Times New Roman"/>
      <w:sz w:val="28"/>
      <w:szCs w:val="28"/>
    </w:rPr>
  </w:style>
  <w:style w:type="paragraph" w:customStyle="1" w:styleId="TableText0">
    <w:name w:val="Table Text"/>
    <w:qFormat/>
    <w:rsid w:val="00751115"/>
    <w:pPr>
      <w:spacing w:before="60" w:after="60"/>
    </w:pPr>
    <w:rPr>
      <w:rFonts w:ascii="Verdana" w:eastAsia="Times New Roman" w:hAnsi="Verdana" w:cs="Times New Roman"/>
      <w:sz w:val="18"/>
    </w:rPr>
  </w:style>
  <w:style w:type="character" w:customStyle="1" w:styleId="medium-bold">
    <w:name w:val="medium-bold"/>
    <w:basedOn w:val="DefaultParagraphFont"/>
    <w:rsid w:val="00F13B54"/>
  </w:style>
  <w:style w:type="character" w:customStyle="1" w:styleId="medium-normal">
    <w:name w:val="medium-normal"/>
    <w:basedOn w:val="DefaultParagraphFont"/>
    <w:rsid w:val="00F13B5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3B5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3B54"/>
    <w:rPr>
      <w:rFonts w:ascii="Arial" w:eastAsia="Times New Roman" w:hAnsi="Arial" w:cs="Times New Roman"/>
      <w:vanish/>
      <w:sz w:val="16"/>
      <w:szCs w:val="16"/>
    </w:rPr>
  </w:style>
  <w:style w:type="character" w:customStyle="1" w:styleId="term">
    <w:name w:val="term"/>
    <w:basedOn w:val="DefaultParagraphFont"/>
    <w:rsid w:val="00F13B54"/>
  </w:style>
  <w:style w:type="character" w:customStyle="1" w:styleId="st">
    <w:name w:val="st"/>
    <w:rsid w:val="00F13B54"/>
  </w:style>
  <w:style w:type="paragraph" w:customStyle="1" w:styleId="reference0">
    <w:name w:val="reference"/>
    <w:basedOn w:val="Normal"/>
    <w:qFormat/>
    <w:rsid w:val="00F13B54"/>
    <w:pPr>
      <w:spacing w:after="120"/>
    </w:pPr>
    <w:rPr>
      <w:rFonts w:ascii="Times New Roman" w:eastAsia="Calibri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B5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B54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F13B54"/>
    <w:rPr>
      <w:vertAlign w:val="superscript"/>
    </w:rPr>
  </w:style>
  <w:style w:type="paragraph" w:customStyle="1" w:styleId="TableHeaderRow">
    <w:name w:val="TableHeaderRow"/>
    <w:basedOn w:val="Normal"/>
    <w:qFormat/>
    <w:rsid w:val="00F13B54"/>
    <w:rPr>
      <w:rFonts w:ascii="Arial Bold" w:eastAsia="Calibri" w:hAnsi="Arial Bold"/>
      <w:b/>
      <w:color w:val="000000"/>
      <w:sz w:val="18"/>
      <w:szCs w:val="18"/>
    </w:rPr>
  </w:style>
  <w:style w:type="paragraph" w:customStyle="1" w:styleId="Text">
    <w:name w:val="Text"/>
    <w:basedOn w:val="Normal"/>
    <w:link w:val="TextChar"/>
    <w:rsid w:val="00F13B54"/>
    <w:pPr>
      <w:shd w:val="clear" w:color="auto" w:fill="FFFFFF"/>
      <w:spacing w:before="120"/>
    </w:pPr>
    <w:rPr>
      <w:rFonts w:cs="Arial"/>
      <w:sz w:val="20"/>
      <w:lang w:bidi="en-US"/>
    </w:rPr>
  </w:style>
  <w:style w:type="character" w:customStyle="1" w:styleId="TextChar">
    <w:name w:val="Text Char"/>
    <w:link w:val="Text"/>
    <w:locked/>
    <w:rsid w:val="00F13B54"/>
    <w:rPr>
      <w:rFonts w:ascii="Times" w:eastAsia="Times New Roman" w:hAnsi="Times"/>
      <w:shd w:val="clear" w:color="auto" w:fill="FFFFFF"/>
      <w:lang w:bidi="en-US"/>
    </w:rPr>
  </w:style>
  <w:style w:type="paragraph" w:customStyle="1" w:styleId="Bullettext">
    <w:name w:val="Bullet text"/>
    <w:basedOn w:val="Normal"/>
    <w:rsid w:val="00F13B54"/>
    <w:pPr>
      <w:numPr>
        <w:numId w:val="18"/>
      </w:numPr>
    </w:pPr>
    <w:rPr>
      <w:rFonts w:eastAsia="Calibri"/>
    </w:rPr>
  </w:style>
  <w:style w:type="paragraph" w:customStyle="1" w:styleId="TableBullet">
    <w:name w:val="TableBullet"/>
    <w:basedOn w:val="TableText"/>
    <w:qFormat/>
    <w:rsid w:val="00F13B54"/>
    <w:pPr>
      <w:numPr>
        <w:numId w:val="21"/>
      </w:numPr>
    </w:pPr>
    <w:rPr>
      <w:rFonts w:eastAsia="Times New Roman" w:cs="Times New Roman"/>
      <w:noProof/>
    </w:rPr>
  </w:style>
  <w:style w:type="paragraph" w:customStyle="1" w:styleId="TableBulletBlank">
    <w:name w:val="TableBulletBlank"/>
    <w:basedOn w:val="TableText"/>
    <w:qFormat/>
    <w:rsid w:val="00F13B54"/>
    <w:pPr>
      <w:ind w:left="216" w:hanging="216"/>
    </w:pPr>
    <w:rPr>
      <w:rFonts w:eastAsia="Times New Roman" w:cs="Times New Roman"/>
      <w:noProof/>
    </w:rPr>
  </w:style>
  <w:style w:type="table" w:customStyle="1" w:styleId="EPCTableStyle">
    <w:name w:val="EPC Table Style"/>
    <w:basedOn w:val="TableNormal"/>
    <w:uiPriority w:val="99"/>
    <w:rsid w:val="00F13B54"/>
    <w:rPr>
      <w:rFonts w:ascii="Arial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eastAsia="Arial" w:hAnsi="Arial" w:cs="Arial"/>
        <w:b/>
        <w:bCs/>
        <w:color w:val="000000"/>
        <w:sz w:val="18"/>
        <w:szCs w:val="18"/>
      </w:rPr>
      <w:tblPr/>
      <w:tcPr>
        <w:tcBorders>
          <w:top w:val="single" w:sz="12" w:space="0" w:color="auto"/>
        </w:tcBorders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Text-ParaSpace">
    <w:name w:val="TableText-ParaSpace"/>
    <w:basedOn w:val="TableBoldText"/>
    <w:qFormat/>
    <w:rsid w:val="00F13B54"/>
    <w:pPr>
      <w:spacing w:after="120"/>
    </w:pPr>
    <w:rPr>
      <w:b w:val="0"/>
    </w:rPr>
  </w:style>
  <w:style w:type="paragraph" w:customStyle="1" w:styleId="WW-HTMLPreformatted">
    <w:name w:val="WW-HTML Preformatted"/>
    <w:basedOn w:val="Normal"/>
    <w:rsid w:val="00F1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13B54"/>
  </w:style>
  <w:style w:type="character" w:customStyle="1" w:styleId="st1">
    <w:name w:val="st1"/>
    <w:rsid w:val="00F13B54"/>
  </w:style>
  <w:style w:type="paragraph" w:styleId="HTMLPreformatted">
    <w:name w:val="HTML Preformatted"/>
    <w:basedOn w:val="Normal"/>
    <w:link w:val="HTMLPreformattedChar"/>
    <w:rsid w:val="00F1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3B54"/>
    <w:rPr>
      <w:rFonts w:ascii="Courier New" w:eastAsia="Times New Roman" w:hAnsi="Courier New" w:cs="Times New Roman"/>
    </w:rPr>
  </w:style>
  <w:style w:type="character" w:customStyle="1" w:styleId="z-BottomofFormChar1">
    <w:name w:val="z-Bottom of Form Char1"/>
    <w:uiPriority w:val="99"/>
    <w:semiHidden/>
    <w:rsid w:val="00F13B54"/>
    <w:rPr>
      <w:rFonts w:ascii="Arial" w:hAnsi="Arial" w:cs="Arial"/>
      <w:vanish/>
      <w:sz w:val="16"/>
      <w:szCs w:val="16"/>
    </w:rPr>
  </w:style>
  <w:style w:type="character" w:customStyle="1" w:styleId="BalloonTextChar1">
    <w:name w:val="Balloon Text Char1"/>
    <w:uiPriority w:val="99"/>
    <w:semiHidden/>
    <w:rsid w:val="00F13B54"/>
    <w:rPr>
      <w:rFonts w:ascii="Tahoma" w:hAnsi="Tahoma" w:cs="Tahoma"/>
      <w:sz w:val="16"/>
      <w:szCs w:val="16"/>
    </w:rPr>
  </w:style>
  <w:style w:type="character" w:customStyle="1" w:styleId="HeaderChar1">
    <w:name w:val="Header Char1"/>
    <w:uiPriority w:val="99"/>
    <w:semiHidden/>
    <w:rsid w:val="00F13B54"/>
    <w:rPr>
      <w:sz w:val="22"/>
      <w:szCs w:val="22"/>
    </w:rPr>
  </w:style>
  <w:style w:type="character" w:customStyle="1" w:styleId="FooterChar1">
    <w:name w:val="Footer Char1"/>
    <w:uiPriority w:val="99"/>
    <w:semiHidden/>
    <w:rsid w:val="00F13B54"/>
    <w:rPr>
      <w:sz w:val="22"/>
      <w:szCs w:val="22"/>
    </w:rPr>
  </w:style>
  <w:style w:type="character" w:customStyle="1" w:styleId="CommentTextChar1">
    <w:name w:val="Comment Text Char1"/>
    <w:uiPriority w:val="99"/>
    <w:semiHidden/>
    <w:rsid w:val="00F13B54"/>
  </w:style>
  <w:style w:type="character" w:customStyle="1" w:styleId="CommentSubjectChar1">
    <w:name w:val="Comment Subject Char1"/>
    <w:uiPriority w:val="99"/>
    <w:semiHidden/>
    <w:rsid w:val="00F13B54"/>
    <w:rPr>
      <w:b/>
      <w:bCs/>
    </w:rPr>
  </w:style>
  <w:style w:type="character" w:customStyle="1" w:styleId="FootnoteTextChar1">
    <w:name w:val="Footnote Text Char1"/>
    <w:uiPriority w:val="99"/>
    <w:semiHidden/>
    <w:rsid w:val="00F13B54"/>
  </w:style>
  <w:style w:type="character" w:customStyle="1" w:styleId="ui-ncbitoggler-master-text">
    <w:name w:val="ui-ncbitoggler-master-text"/>
    <w:rsid w:val="00F13B54"/>
  </w:style>
  <w:style w:type="character" w:customStyle="1" w:styleId="z-TopofFormChar">
    <w:name w:val="z-Top of Form Char"/>
    <w:link w:val="z-TopofForm"/>
    <w:uiPriority w:val="99"/>
    <w:semiHidden/>
    <w:rsid w:val="00F13B54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3B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13B54"/>
    <w:rPr>
      <w:rFonts w:ascii="Arial" w:eastAsia="Times New Roman" w:hAnsi="Arial"/>
      <w:vanish/>
      <w:sz w:val="16"/>
      <w:szCs w:val="16"/>
    </w:rPr>
  </w:style>
  <w:style w:type="character" w:customStyle="1" w:styleId="shadow">
    <w:name w:val="shadow"/>
    <w:rsid w:val="00F13B54"/>
  </w:style>
  <w:style w:type="character" w:customStyle="1" w:styleId="text0">
    <w:name w:val="text"/>
    <w:rsid w:val="00F13B54"/>
  </w:style>
  <w:style w:type="character" w:customStyle="1" w:styleId="search-number">
    <w:name w:val="search-number"/>
    <w:rsid w:val="00F13B54"/>
  </w:style>
  <w:style w:type="character" w:customStyle="1" w:styleId="hidden">
    <w:name w:val="hidden"/>
    <w:rsid w:val="00F13B54"/>
  </w:style>
  <w:style w:type="character" w:styleId="Emphasis">
    <w:name w:val="Emphasis"/>
    <w:uiPriority w:val="20"/>
    <w:qFormat/>
    <w:rsid w:val="00F13B54"/>
    <w:rPr>
      <w:i/>
      <w:iCs/>
    </w:rPr>
  </w:style>
  <w:style w:type="character" w:customStyle="1" w:styleId="callback">
    <w:name w:val="callback"/>
    <w:rsid w:val="00F13B54"/>
  </w:style>
  <w:style w:type="character" w:styleId="Strong">
    <w:name w:val="Strong"/>
    <w:uiPriority w:val="22"/>
    <w:qFormat/>
    <w:rsid w:val="00F13B54"/>
    <w:rPr>
      <w:b/>
      <w:bCs/>
    </w:rPr>
  </w:style>
  <w:style w:type="paragraph" w:customStyle="1" w:styleId="source">
    <w:name w:val="source"/>
    <w:basedOn w:val="Normal"/>
    <w:rsid w:val="00F13B5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TMLCite">
    <w:name w:val="HTML Cite"/>
    <w:uiPriority w:val="99"/>
    <w:semiHidden/>
    <w:unhideWhenUsed/>
    <w:rsid w:val="00F13B54"/>
    <w:rPr>
      <w:i/>
      <w:iCs/>
    </w:rPr>
  </w:style>
  <w:style w:type="character" w:customStyle="1" w:styleId="tiny-normal">
    <w:name w:val="tiny-normal"/>
    <w:rsid w:val="00F13B54"/>
  </w:style>
  <w:style w:type="character" w:customStyle="1" w:styleId="label">
    <w:name w:val="label"/>
    <w:rsid w:val="00F13B54"/>
  </w:style>
  <w:style w:type="character" w:customStyle="1" w:styleId="icon">
    <w:name w:val="icon"/>
    <w:rsid w:val="00F13B54"/>
  </w:style>
  <w:style w:type="paragraph" w:customStyle="1" w:styleId="References">
    <w:name w:val="References"/>
    <w:basedOn w:val="Normal"/>
    <w:qFormat/>
    <w:rsid w:val="00F13B54"/>
    <w:pPr>
      <w:keepLines/>
      <w:autoSpaceDE w:val="0"/>
      <w:autoSpaceDN w:val="0"/>
      <w:adjustRightInd w:val="0"/>
      <w:spacing w:after="240"/>
      <w:ind w:left="720" w:hanging="720"/>
    </w:pPr>
    <w:rPr>
      <w:rFonts w:ascii="Times New Roman" w:hAnsi="Times New Roman" w:cs="Ari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21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12" w:color="E1E9EB"/>
                            <w:right w:val="none" w:sz="0" w:space="0" w:color="auto"/>
                          </w:divBdr>
                          <w:divsChild>
                            <w:div w:id="1463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459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64">
                      <w:marLeft w:val="28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035">
                  <w:marLeft w:val="-17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9370">
                          <w:marLeft w:val="272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728">
                              <w:marLeft w:val="91"/>
                              <w:marRight w:val="91"/>
                              <w:marTop w:val="91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86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3" w:color="AEAF8F"/>
                                    <w:right w:val="none" w:sz="0" w:space="0" w:color="auto"/>
                                  </w:divBdr>
                                  <w:divsChild>
                                    <w:div w:id="3105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2142">
                                          <w:marLeft w:val="0"/>
                                          <w:marRight w:val="0"/>
                                          <w:marTop w:val="1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31A3-3DF4-4E25-B9CE-745D889D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24502</CharactersWithSpaces>
  <SharedDoc>false</SharedDoc>
  <HLinks>
    <vt:vector size="30" baseType="variant">
      <vt:variant>
        <vt:i4>6225986</vt:i4>
      </vt:variant>
      <vt:variant>
        <vt:i4>491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4587531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slloyd</dc:creator>
  <cp:lastModifiedBy>Venture</cp:lastModifiedBy>
  <cp:revision>3</cp:revision>
  <cp:lastPrinted>2013-04-25T15:12:00Z</cp:lastPrinted>
  <dcterms:created xsi:type="dcterms:W3CDTF">2013-05-17T08:59:00Z</dcterms:created>
  <dcterms:modified xsi:type="dcterms:W3CDTF">2013-05-17T09:13:00Z</dcterms:modified>
</cp:coreProperties>
</file>