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B00CC" w14:textId="09EBEDBA" w:rsidR="00B344BC" w:rsidRDefault="006A2E30" w:rsidP="00B344BC">
      <w:pPr>
        <w:pStyle w:val="Caption"/>
      </w:pPr>
      <w:r>
        <w:t>Table B.</w:t>
      </w:r>
      <w:r w:rsidR="0024797A">
        <w:rPr>
          <w:noProof/>
        </w:rPr>
        <w:fldChar w:fldCharType="begin"/>
      </w:r>
      <w:r w:rsidR="0024797A">
        <w:rPr>
          <w:noProof/>
        </w:rPr>
        <w:instrText xml:space="preserve"> SEQ Table_B. \* ARABIC </w:instrText>
      </w:r>
      <w:r w:rsidR="0024797A">
        <w:rPr>
          <w:noProof/>
        </w:rPr>
        <w:fldChar w:fldCharType="separate"/>
      </w:r>
      <w:r w:rsidR="00087FD2">
        <w:rPr>
          <w:noProof/>
        </w:rPr>
        <w:t>57</w:t>
      </w:r>
      <w:r w:rsidR="0024797A">
        <w:rPr>
          <w:noProof/>
        </w:rPr>
        <w:fldChar w:fldCharType="end"/>
      </w:r>
      <w:r>
        <w:t xml:space="preserve">: </w:t>
      </w:r>
      <w:r w:rsidR="00B344BC" w:rsidRPr="0035278D">
        <w:t>Infusion Pumps,</w:t>
      </w:r>
      <w:r w:rsidR="00B344BC">
        <w:t xml:space="preserve"> </w:t>
      </w:r>
      <w:r w:rsidR="00B344BC" w:rsidRPr="00924AE7">
        <w:t>Structured Process Change and Workflow Redesign</w:t>
      </w:r>
      <w:r w:rsidR="00B344BC" w:rsidRPr="0035278D">
        <w:t>—Single Studies</w:t>
      </w:r>
    </w:p>
    <w:p w14:paraId="524A358D" w14:textId="44EEC3DD" w:rsidR="00B344BC" w:rsidRPr="00416439" w:rsidRDefault="00B344BC" w:rsidP="00B344BC">
      <w:pPr>
        <w:pStyle w:val="BodyText"/>
      </w:pPr>
      <w:r w:rsidRPr="00416439">
        <w:rPr>
          <w:lang w:val="en-US"/>
        </w:rPr>
        <w:t xml:space="preserve">Note: </w:t>
      </w:r>
      <w:r>
        <w:rPr>
          <w:lang w:val="en-US"/>
        </w:rPr>
        <w:t xml:space="preserve">Full references are available in the </w:t>
      </w:r>
      <w:hyperlink w:anchor="Section12point1refs" w:history="1">
        <w:r w:rsidRPr="003A5562">
          <w:rPr>
            <w:rStyle w:val="Hyperlink"/>
            <w:lang w:val="en-US"/>
          </w:rPr>
          <w:t>Section 12.1 reference list</w:t>
        </w:r>
      </w:hyperlink>
      <w:r>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083"/>
        <w:gridCol w:w="2176"/>
        <w:gridCol w:w="1632"/>
        <w:gridCol w:w="1179"/>
        <w:gridCol w:w="1813"/>
        <w:gridCol w:w="1813"/>
        <w:gridCol w:w="2267"/>
        <w:gridCol w:w="1083"/>
      </w:tblGrid>
      <w:tr w:rsidR="00B344BC" w:rsidRPr="00F75B37" w14:paraId="7C2B2782" w14:textId="77777777" w:rsidTr="008A7983">
        <w:trPr>
          <w:cantSplit/>
          <w:tblHeader/>
        </w:trPr>
        <w:tc>
          <w:tcPr>
            <w:tcW w:w="1075" w:type="dxa"/>
            <w:noWrap/>
            <w:vAlign w:val="center"/>
            <w:hideMark/>
          </w:tcPr>
          <w:p w14:paraId="7D2CE98E" w14:textId="77777777" w:rsidR="00B344BC" w:rsidRPr="00372773" w:rsidRDefault="00B344BC" w:rsidP="00372773">
            <w:pPr>
              <w:pStyle w:val="TableColumnHeader"/>
            </w:pPr>
            <w:r w:rsidRPr="00372773">
              <w:t>Author, Year</w:t>
            </w:r>
          </w:p>
        </w:tc>
        <w:tc>
          <w:tcPr>
            <w:tcW w:w="2160" w:type="dxa"/>
            <w:vAlign w:val="center"/>
            <w:hideMark/>
          </w:tcPr>
          <w:p w14:paraId="3F08DFC0" w14:textId="77777777" w:rsidR="00B344BC" w:rsidRPr="00F75B37" w:rsidRDefault="00B344BC" w:rsidP="00372773">
            <w:pPr>
              <w:pStyle w:val="TableColumnHeader"/>
            </w:pPr>
            <w:r w:rsidRPr="00F75B37">
              <w:t>Description of P</w:t>
            </w:r>
            <w:r>
              <w:t>atient Safety Practice</w:t>
            </w:r>
          </w:p>
        </w:tc>
        <w:tc>
          <w:tcPr>
            <w:tcW w:w="1620" w:type="dxa"/>
            <w:vAlign w:val="center"/>
            <w:hideMark/>
          </w:tcPr>
          <w:p w14:paraId="527CA9A2" w14:textId="77777777" w:rsidR="00B344BC" w:rsidRPr="00F75B37" w:rsidRDefault="00B344BC" w:rsidP="00372773">
            <w:pPr>
              <w:pStyle w:val="TableColumnHeader"/>
            </w:pPr>
            <w:r w:rsidRPr="00F75B37">
              <w:t>Study Design;</w:t>
            </w:r>
            <w:r w:rsidRPr="00F75B37">
              <w:br/>
              <w:t>Sample Size;</w:t>
            </w:r>
            <w:r w:rsidRPr="00F75B37">
              <w:br/>
              <w:t>Patient Population</w:t>
            </w:r>
          </w:p>
        </w:tc>
        <w:tc>
          <w:tcPr>
            <w:tcW w:w="1170" w:type="dxa"/>
            <w:noWrap/>
            <w:vAlign w:val="center"/>
            <w:hideMark/>
          </w:tcPr>
          <w:p w14:paraId="13848060" w14:textId="77777777" w:rsidR="00B344BC" w:rsidRPr="00F75B37" w:rsidRDefault="00B344BC" w:rsidP="00372773">
            <w:pPr>
              <w:pStyle w:val="TableColumnHeader"/>
            </w:pPr>
            <w:r w:rsidRPr="00F75B37">
              <w:t>Setting</w:t>
            </w:r>
          </w:p>
        </w:tc>
        <w:tc>
          <w:tcPr>
            <w:tcW w:w="1800" w:type="dxa"/>
            <w:noWrap/>
            <w:vAlign w:val="center"/>
            <w:hideMark/>
          </w:tcPr>
          <w:p w14:paraId="5D3D9227" w14:textId="77777777" w:rsidR="00B344BC" w:rsidRPr="00F75B37" w:rsidRDefault="00B344BC" w:rsidP="00372773">
            <w:pPr>
              <w:pStyle w:val="TableColumnHeader"/>
            </w:pPr>
            <w:r w:rsidRPr="00F75B37">
              <w:t>Outcomes: Benefits</w:t>
            </w:r>
          </w:p>
        </w:tc>
        <w:tc>
          <w:tcPr>
            <w:tcW w:w="1800" w:type="dxa"/>
            <w:noWrap/>
            <w:vAlign w:val="center"/>
            <w:hideMark/>
          </w:tcPr>
          <w:p w14:paraId="1E1CD39D" w14:textId="77777777" w:rsidR="00B344BC" w:rsidRPr="00F75B37" w:rsidRDefault="00B344BC" w:rsidP="00372773">
            <w:pPr>
              <w:pStyle w:val="TableColumnHeader"/>
            </w:pPr>
            <w:r w:rsidRPr="00F75B37">
              <w:t>Outcomes: Harms</w:t>
            </w:r>
          </w:p>
        </w:tc>
        <w:tc>
          <w:tcPr>
            <w:tcW w:w="2250" w:type="dxa"/>
            <w:vAlign w:val="center"/>
            <w:hideMark/>
          </w:tcPr>
          <w:p w14:paraId="52EEE1A9" w14:textId="77777777" w:rsidR="00B344BC" w:rsidRPr="00F75B37" w:rsidRDefault="00B344BC" w:rsidP="00372773">
            <w:pPr>
              <w:pStyle w:val="TableColumnHeader"/>
            </w:pPr>
            <w:r w:rsidRPr="00F75B37">
              <w:t>Implementation Themes/Findings</w:t>
            </w:r>
          </w:p>
        </w:tc>
        <w:tc>
          <w:tcPr>
            <w:tcW w:w="1075" w:type="dxa"/>
            <w:vAlign w:val="center"/>
            <w:hideMark/>
          </w:tcPr>
          <w:p w14:paraId="3153F001" w14:textId="77777777" w:rsidR="00B344BC" w:rsidRPr="00F75B37" w:rsidRDefault="00B344BC" w:rsidP="00372773">
            <w:pPr>
              <w:pStyle w:val="TableColumnHeader"/>
            </w:pPr>
            <w:r w:rsidRPr="00F75B37">
              <w:t>Risk of Bias (</w:t>
            </w:r>
            <w:r>
              <w:t>H</w:t>
            </w:r>
            <w:r w:rsidRPr="00F75B37">
              <w:t xml:space="preserve">igh, </w:t>
            </w:r>
            <w:r>
              <w:t>M</w:t>
            </w:r>
            <w:r w:rsidRPr="00F75B37">
              <w:t xml:space="preserve">oderate, </w:t>
            </w:r>
            <w:r>
              <w:t>L</w:t>
            </w:r>
            <w:r w:rsidRPr="00F75B37">
              <w:t>ow)</w:t>
            </w:r>
          </w:p>
        </w:tc>
      </w:tr>
      <w:tr w:rsidR="00B344BC" w:rsidRPr="00F75B37" w14:paraId="599A7C72" w14:textId="77777777" w:rsidTr="008A7983">
        <w:trPr>
          <w:cantSplit/>
        </w:trPr>
        <w:tc>
          <w:tcPr>
            <w:tcW w:w="1075" w:type="dxa"/>
            <w:noWrap/>
          </w:tcPr>
          <w:p w14:paraId="1E979B91" w14:textId="77777777" w:rsidR="00B344BC" w:rsidRPr="00372773" w:rsidRDefault="00B344BC" w:rsidP="008A7983">
            <w:pPr>
              <w:spacing w:after="0"/>
              <w:rPr>
                <w:rFonts w:ascii="Arial" w:hAnsi="Arial" w:cs="Arial"/>
                <w:b/>
                <w:sz w:val="18"/>
                <w:szCs w:val="18"/>
                <w:vertAlign w:val="superscript"/>
              </w:rPr>
            </w:pPr>
            <w:proofErr w:type="spellStart"/>
            <w:r w:rsidRPr="00372773">
              <w:rPr>
                <w:rFonts w:ascii="Arial" w:hAnsi="Arial" w:cs="Arial"/>
                <w:b/>
                <w:sz w:val="18"/>
                <w:szCs w:val="18"/>
              </w:rPr>
              <w:t>Biltoft</w:t>
            </w:r>
            <w:proofErr w:type="spellEnd"/>
            <w:r w:rsidRPr="00372773">
              <w:rPr>
                <w:rFonts w:ascii="Arial" w:hAnsi="Arial" w:cs="Arial"/>
                <w:b/>
                <w:sz w:val="18"/>
                <w:szCs w:val="18"/>
              </w:rPr>
              <w:t xml:space="preserve"> and </w:t>
            </w:r>
            <w:proofErr w:type="spellStart"/>
            <w:r w:rsidRPr="00372773">
              <w:rPr>
                <w:rFonts w:ascii="Arial" w:hAnsi="Arial" w:cs="Arial"/>
                <w:b/>
                <w:sz w:val="18"/>
                <w:szCs w:val="18"/>
              </w:rPr>
              <w:t>Finneman</w:t>
            </w:r>
            <w:proofErr w:type="spellEnd"/>
            <w:r w:rsidRPr="00372773">
              <w:rPr>
                <w:rFonts w:ascii="Arial" w:hAnsi="Arial" w:cs="Arial"/>
                <w:b/>
                <w:sz w:val="18"/>
                <w:szCs w:val="18"/>
              </w:rPr>
              <w:t>, 2018</w:t>
            </w:r>
            <w:r w:rsidRPr="00372773">
              <w:rPr>
                <w:rFonts w:ascii="Arial" w:hAnsi="Arial" w:cs="Arial"/>
                <w:b/>
                <w:sz w:val="18"/>
                <w:szCs w:val="18"/>
                <w:vertAlign w:val="superscript"/>
              </w:rPr>
              <w:t>10</w:t>
            </w:r>
          </w:p>
        </w:tc>
        <w:tc>
          <w:tcPr>
            <w:tcW w:w="2160" w:type="dxa"/>
          </w:tcPr>
          <w:p w14:paraId="3937CE89"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Hospital implemented smart pump- electronic medical record (EMR) interoperability to decrease opportunities for errors by reducing</w:t>
            </w:r>
            <w:r>
              <w:rPr>
                <w:rFonts w:ascii="Arial" w:hAnsi="Arial" w:cs="Arial"/>
                <w:sz w:val="18"/>
                <w:szCs w:val="18"/>
              </w:rPr>
              <w:t xml:space="preserve"> manual</w:t>
            </w:r>
            <w:r w:rsidRPr="00F75B37">
              <w:rPr>
                <w:rFonts w:ascii="Arial" w:hAnsi="Arial" w:cs="Arial"/>
                <w:sz w:val="18"/>
                <w:szCs w:val="18"/>
              </w:rPr>
              <w:t xml:space="preserve"> clinician keystrokes n</w:t>
            </w:r>
            <w:r>
              <w:rPr>
                <w:rFonts w:ascii="Arial" w:hAnsi="Arial" w:cs="Arial"/>
                <w:sz w:val="18"/>
                <w:szCs w:val="18"/>
              </w:rPr>
              <w:t>eeded to program an</w:t>
            </w:r>
            <w:r w:rsidRPr="00F75B37">
              <w:rPr>
                <w:rFonts w:ascii="Arial" w:hAnsi="Arial" w:cs="Arial"/>
                <w:sz w:val="18"/>
                <w:szCs w:val="18"/>
              </w:rPr>
              <w:t xml:space="preserve"> infusion.</w:t>
            </w:r>
          </w:p>
          <w:p w14:paraId="2CFB34D6"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Conducted workflow analyses prior to implementation.</w:t>
            </w:r>
          </w:p>
          <w:p w14:paraId="3C26D221"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 xml:space="preserve">The team made necessary changes to streamline workflow, such as reconfiguring rooms so that infusion pumps and EMR computers could be accessed at the same time for the most accurate infusion documentation. In addition, implemented </w:t>
            </w:r>
            <w:proofErr w:type="gramStart"/>
            <w:r w:rsidRPr="00F75B37">
              <w:rPr>
                <w:rFonts w:ascii="Arial" w:hAnsi="Arial" w:cs="Arial"/>
                <w:sz w:val="18"/>
                <w:szCs w:val="18"/>
              </w:rPr>
              <w:t>a double</w:t>
            </w:r>
            <w:r>
              <w:rPr>
                <w:rFonts w:ascii="Arial" w:hAnsi="Arial" w:cs="Arial"/>
                <w:sz w:val="18"/>
                <w:szCs w:val="18"/>
              </w:rPr>
              <w:t>-</w:t>
            </w:r>
            <w:r w:rsidRPr="00F75B37">
              <w:rPr>
                <w:rFonts w:ascii="Arial" w:hAnsi="Arial" w:cs="Arial"/>
                <w:sz w:val="18"/>
                <w:szCs w:val="18"/>
              </w:rPr>
              <w:t>check</w:t>
            </w:r>
            <w:proofErr w:type="gramEnd"/>
            <w:r w:rsidRPr="00F75B37">
              <w:rPr>
                <w:rFonts w:ascii="Arial" w:hAnsi="Arial" w:cs="Arial"/>
                <w:sz w:val="18"/>
                <w:szCs w:val="18"/>
              </w:rPr>
              <w:t xml:space="preserve"> to ensure that all medication identifiers populated the correct drug library and corresponded to those in the EMR. This helps streamline nursing workflow, especially when there are patient transfers between units.</w:t>
            </w:r>
          </w:p>
        </w:tc>
        <w:tc>
          <w:tcPr>
            <w:tcW w:w="1620" w:type="dxa"/>
          </w:tcPr>
          <w:p w14:paraId="38581468"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Case study</w:t>
            </w:r>
          </w:p>
        </w:tc>
        <w:tc>
          <w:tcPr>
            <w:tcW w:w="1170" w:type="dxa"/>
            <w:noWrap/>
          </w:tcPr>
          <w:p w14:paraId="26139A26"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Hospital (286</w:t>
            </w:r>
            <w:r>
              <w:rPr>
                <w:rFonts w:ascii="Arial" w:hAnsi="Arial" w:cs="Arial"/>
                <w:sz w:val="18"/>
                <w:szCs w:val="18"/>
              </w:rPr>
              <w:t> </w:t>
            </w:r>
            <w:r w:rsidRPr="00F75B37">
              <w:rPr>
                <w:rFonts w:ascii="Arial" w:hAnsi="Arial" w:cs="Arial"/>
                <w:sz w:val="18"/>
                <w:szCs w:val="18"/>
              </w:rPr>
              <w:t xml:space="preserve">beds) within a regional health system. </w:t>
            </w:r>
            <w:r>
              <w:rPr>
                <w:rFonts w:ascii="Arial" w:hAnsi="Arial" w:cs="Arial"/>
                <w:sz w:val="18"/>
                <w:szCs w:val="18"/>
              </w:rPr>
              <w:t>United States</w:t>
            </w:r>
          </w:p>
        </w:tc>
        <w:tc>
          <w:tcPr>
            <w:tcW w:w="1800" w:type="dxa"/>
            <w:noWrap/>
          </w:tcPr>
          <w:p w14:paraId="590D5867"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Pre-population of infusion parameters reduced manual keystrokes by 86%.</w:t>
            </w:r>
          </w:p>
          <w:p w14:paraId="700554E3"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 xml:space="preserve">Compliance with using interoperability technology averaged 70-80% in the first </w:t>
            </w:r>
            <w:r>
              <w:rPr>
                <w:rFonts w:ascii="Arial" w:hAnsi="Arial" w:cs="Arial"/>
                <w:sz w:val="18"/>
                <w:szCs w:val="18"/>
              </w:rPr>
              <w:t>7</w:t>
            </w:r>
            <w:r w:rsidRPr="00F75B37">
              <w:rPr>
                <w:rFonts w:ascii="Arial" w:hAnsi="Arial" w:cs="Arial"/>
                <w:sz w:val="18"/>
                <w:szCs w:val="18"/>
              </w:rPr>
              <w:t xml:space="preserve"> months.</w:t>
            </w:r>
          </w:p>
          <w:p w14:paraId="179670C5"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Rate of appropriate entry of patient identification information by pump users increased from 35.5% to 81%.</w:t>
            </w:r>
          </w:p>
          <w:p w14:paraId="0170E30D"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Mean monthly number of alert overrides decreased by 20%.</w:t>
            </w:r>
          </w:p>
        </w:tc>
        <w:tc>
          <w:tcPr>
            <w:tcW w:w="1800" w:type="dxa"/>
            <w:noWrap/>
          </w:tcPr>
          <w:p w14:paraId="62C32703" w14:textId="77777777" w:rsidR="00B344BC" w:rsidRPr="00F75B37" w:rsidRDefault="00B344BC" w:rsidP="008A7983">
            <w:pPr>
              <w:spacing w:after="0"/>
              <w:rPr>
                <w:rFonts w:ascii="Arial" w:hAnsi="Arial" w:cs="Arial"/>
                <w:sz w:val="18"/>
                <w:szCs w:val="18"/>
              </w:rPr>
            </w:pPr>
            <w:r>
              <w:rPr>
                <w:rFonts w:ascii="Arial" w:hAnsi="Arial" w:cs="Arial"/>
                <w:sz w:val="18"/>
                <w:szCs w:val="18"/>
              </w:rPr>
              <w:t>Not provided</w:t>
            </w:r>
          </w:p>
        </w:tc>
        <w:tc>
          <w:tcPr>
            <w:tcW w:w="2250" w:type="dxa"/>
          </w:tcPr>
          <w:p w14:paraId="73BC8E41"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Pharmacist-led implementation of smart pump-EMR interoperability led to measurable improvements in intravenous (IV) medication safety and improved accuracy, timeliness, and efficiency of IV infusion documentation.</w:t>
            </w:r>
          </w:p>
        </w:tc>
        <w:tc>
          <w:tcPr>
            <w:tcW w:w="1075" w:type="dxa"/>
          </w:tcPr>
          <w:p w14:paraId="23AA5C0F"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High—case study</w:t>
            </w:r>
          </w:p>
        </w:tc>
      </w:tr>
      <w:tr w:rsidR="00B344BC" w:rsidRPr="00F75B37" w14:paraId="39DA1F06" w14:textId="77777777" w:rsidTr="008A7983">
        <w:trPr>
          <w:cantSplit/>
        </w:trPr>
        <w:tc>
          <w:tcPr>
            <w:tcW w:w="1075" w:type="dxa"/>
            <w:noWrap/>
          </w:tcPr>
          <w:p w14:paraId="16A508D1" w14:textId="77777777" w:rsidR="00B344BC" w:rsidRPr="00372773" w:rsidRDefault="00B344BC" w:rsidP="008A7983">
            <w:pPr>
              <w:pageBreakBefore/>
              <w:spacing w:after="0"/>
              <w:rPr>
                <w:rFonts w:ascii="Arial" w:hAnsi="Arial" w:cs="Arial"/>
                <w:b/>
                <w:sz w:val="18"/>
                <w:szCs w:val="18"/>
                <w:vertAlign w:val="superscript"/>
              </w:rPr>
            </w:pPr>
            <w:proofErr w:type="spellStart"/>
            <w:r w:rsidRPr="00372773">
              <w:rPr>
                <w:rFonts w:ascii="Arial" w:hAnsi="Arial" w:cs="Arial"/>
                <w:b/>
                <w:sz w:val="18"/>
                <w:szCs w:val="18"/>
              </w:rPr>
              <w:lastRenderedPageBreak/>
              <w:t>Chaturvedi</w:t>
            </w:r>
            <w:proofErr w:type="spellEnd"/>
            <w:r w:rsidRPr="00372773">
              <w:rPr>
                <w:rFonts w:ascii="Arial" w:hAnsi="Arial" w:cs="Arial"/>
                <w:b/>
                <w:sz w:val="18"/>
                <w:szCs w:val="18"/>
              </w:rPr>
              <w:t xml:space="preserve"> et al., 2019</w:t>
            </w:r>
            <w:r w:rsidRPr="00372773">
              <w:rPr>
                <w:rFonts w:ascii="Arial" w:hAnsi="Arial" w:cs="Arial"/>
                <w:b/>
                <w:sz w:val="18"/>
                <w:szCs w:val="18"/>
                <w:vertAlign w:val="superscript"/>
              </w:rPr>
              <w:t>9</w:t>
            </w:r>
          </w:p>
        </w:tc>
        <w:tc>
          <w:tcPr>
            <w:tcW w:w="2160" w:type="dxa"/>
          </w:tcPr>
          <w:p w14:paraId="545006E0"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Hospital implemented intravenous clinical integration (IVCI)</w:t>
            </w:r>
            <w:r>
              <w:rPr>
                <w:rFonts w:ascii="Arial" w:hAnsi="Arial" w:cs="Arial"/>
                <w:sz w:val="18"/>
                <w:szCs w:val="18"/>
              </w:rPr>
              <w:t>,</w:t>
            </w:r>
            <w:r w:rsidRPr="00F75B37">
              <w:rPr>
                <w:rFonts w:ascii="Arial" w:hAnsi="Arial" w:cs="Arial"/>
                <w:sz w:val="18"/>
                <w:szCs w:val="18"/>
              </w:rPr>
              <w:t xml:space="preserve"> which links EMRs, </w:t>
            </w:r>
            <w:r>
              <w:rPr>
                <w:rFonts w:ascii="Arial" w:hAnsi="Arial" w:cs="Arial"/>
                <w:sz w:val="18"/>
                <w:szCs w:val="18"/>
              </w:rPr>
              <w:t>computerized physician order entry (</w:t>
            </w:r>
            <w:r w:rsidRPr="00F75B37">
              <w:rPr>
                <w:rFonts w:ascii="Arial" w:hAnsi="Arial" w:cs="Arial"/>
                <w:sz w:val="18"/>
                <w:szCs w:val="18"/>
              </w:rPr>
              <w:t>CPOE</w:t>
            </w:r>
            <w:r>
              <w:rPr>
                <w:rFonts w:ascii="Arial" w:hAnsi="Arial" w:cs="Arial"/>
                <w:sz w:val="18"/>
                <w:szCs w:val="18"/>
              </w:rPr>
              <w:t>)</w:t>
            </w:r>
            <w:r w:rsidRPr="00F75B37">
              <w:rPr>
                <w:rFonts w:ascii="Arial" w:hAnsi="Arial" w:cs="Arial"/>
                <w:sz w:val="18"/>
                <w:szCs w:val="18"/>
              </w:rPr>
              <w:t>, smart pumps, and bar code medication administration systems in order to reduce human errors caused by manual documentation.</w:t>
            </w:r>
          </w:p>
          <w:p w14:paraId="1D24AE1F"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During the planning process, hospital leaders discovered significant variation in nursing workflows for IV administration</w:t>
            </w:r>
            <w:r>
              <w:rPr>
                <w:rFonts w:ascii="Arial" w:hAnsi="Arial" w:cs="Arial"/>
                <w:sz w:val="18"/>
                <w:szCs w:val="18"/>
              </w:rPr>
              <w:t xml:space="preserve"> and e</w:t>
            </w:r>
            <w:r w:rsidRPr="00F75B37">
              <w:rPr>
                <w:rFonts w:ascii="Arial" w:hAnsi="Arial" w:cs="Arial"/>
                <w:sz w:val="18"/>
                <w:szCs w:val="18"/>
              </w:rPr>
              <w:t>ngaged in multiple efforts to standardize workflows.</w:t>
            </w:r>
          </w:p>
        </w:tc>
        <w:tc>
          <w:tcPr>
            <w:tcW w:w="1620" w:type="dxa"/>
          </w:tcPr>
          <w:p w14:paraId="2338A093"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Qualitative description of hospital</w:t>
            </w:r>
            <w:r>
              <w:rPr>
                <w:rFonts w:ascii="Arial" w:hAnsi="Arial" w:cs="Arial"/>
                <w:sz w:val="18"/>
                <w:szCs w:val="18"/>
              </w:rPr>
              <w:t>’</w:t>
            </w:r>
            <w:r w:rsidRPr="00F75B37">
              <w:rPr>
                <w:rFonts w:ascii="Arial" w:hAnsi="Arial" w:cs="Arial"/>
                <w:sz w:val="18"/>
                <w:szCs w:val="18"/>
              </w:rPr>
              <w:t>s IVCI implementation</w:t>
            </w:r>
            <w:r>
              <w:rPr>
                <w:rFonts w:ascii="Arial" w:hAnsi="Arial" w:cs="Arial"/>
                <w:sz w:val="18"/>
                <w:szCs w:val="18"/>
              </w:rPr>
              <w:t>.</w:t>
            </w:r>
          </w:p>
          <w:p w14:paraId="4E74DB8D"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Conducted sem</w:t>
            </w:r>
            <w:r>
              <w:rPr>
                <w:rFonts w:ascii="Arial" w:hAnsi="Arial" w:cs="Arial"/>
                <w:sz w:val="18"/>
                <w:szCs w:val="18"/>
              </w:rPr>
              <w:t>i-structured interviews with 33 </w:t>
            </w:r>
            <w:r w:rsidRPr="00F75B37">
              <w:rPr>
                <w:rFonts w:ascii="Arial" w:hAnsi="Arial" w:cs="Arial"/>
                <w:sz w:val="18"/>
                <w:szCs w:val="18"/>
              </w:rPr>
              <w:t xml:space="preserve">informants: </w:t>
            </w:r>
            <w:r>
              <w:rPr>
                <w:rFonts w:ascii="Arial" w:hAnsi="Arial" w:cs="Arial"/>
                <w:sz w:val="18"/>
                <w:szCs w:val="18"/>
              </w:rPr>
              <w:t xml:space="preserve">4 </w:t>
            </w:r>
            <w:r w:rsidRPr="00F75B37">
              <w:rPr>
                <w:rFonts w:ascii="Arial" w:hAnsi="Arial" w:cs="Arial"/>
                <w:sz w:val="18"/>
                <w:szCs w:val="18"/>
              </w:rPr>
              <w:t>phar</w:t>
            </w:r>
            <w:r>
              <w:rPr>
                <w:rFonts w:ascii="Arial" w:hAnsi="Arial" w:cs="Arial"/>
                <w:sz w:val="18"/>
                <w:szCs w:val="18"/>
              </w:rPr>
              <w:t>macists, 8 IT personnel, 10 </w:t>
            </w:r>
            <w:r w:rsidRPr="00F75B37">
              <w:rPr>
                <w:rFonts w:ascii="Arial" w:hAnsi="Arial" w:cs="Arial"/>
                <w:sz w:val="18"/>
                <w:szCs w:val="18"/>
              </w:rPr>
              <w:t xml:space="preserve">frontline nurses, </w:t>
            </w:r>
            <w:r>
              <w:rPr>
                <w:rFonts w:ascii="Arial" w:hAnsi="Arial" w:cs="Arial"/>
                <w:sz w:val="18"/>
                <w:szCs w:val="18"/>
              </w:rPr>
              <w:t>4</w:t>
            </w:r>
            <w:r w:rsidRPr="00F75B37">
              <w:rPr>
                <w:rFonts w:ascii="Arial" w:hAnsi="Arial" w:cs="Arial"/>
                <w:sz w:val="18"/>
                <w:szCs w:val="18"/>
              </w:rPr>
              <w:t xml:space="preserve"> nurse trainers, and </w:t>
            </w:r>
            <w:r>
              <w:rPr>
                <w:rFonts w:ascii="Arial" w:hAnsi="Arial" w:cs="Arial"/>
                <w:sz w:val="18"/>
                <w:szCs w:val="18"/>
              </w:rPr>
              <w:t>7</w:t>
            </w:r>
            <w:r w:rsidRPr="00F75B37">
              <w:rPr>
                <w:rFonts w:ascii="Arial" w:hAnsi="Arial" w:cs="Arial"/>
                <w:sz w:val="18"/>
                <w:szCs w:val="18"/>
              </w:rPr>
              <w:t xml:space="preserve"> hospital leaders</w:t>
            </w:r>
            <w:r>
              <w:rPr>
                <w:rFonts w:ascii="Arial" w:hAnsi="Arial" w:cs="Arial"/>
                <w:sz w:val="18"/>
                <w:szCs w:val="18"/>
              </w:rPr>
              <w:t>.</w:t>
            </w:r>
          </w:p>
          <w:p w14:paraId="74179A3E"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Researchers observed nurse IVCI training and nurses on five units.</w:t>
            </w:r>
          </w:p>
        </w:tc>
        <w:tc>
          <w:tcPr>
            <w:tcW w:w="1170" w:type="dxa"/>
            <w:noWrap/>
          </w:tcPr>
          <w:p w14:paraId="48853D8D"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 xml:space="preserve">Large nonprofit academic medical center (886 beds), </w:t>
            </w:r>
            <w:r>
              <w:rPr>
                <w:rFonts w:ascii="Arial" w:hAnsi="Arial" w:cs="Arial"/>
                <w:sz w:val="18"/>
                <w:szCs w:val="18"/>
              </w:rPr>
              <w:t>United States</w:t>
            </w:r>
          </w:p>
        </w:tc>
        <w:tc>
          <w:tcPr>
            <w:tcW w:w="1800" w:type="dxa"/>
            <w:noWrap/>
          </w:tcPr>
          <w:p w14:paraId="3A971BF8"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Hospital leaders viewed standardization as extremely beneficial because it was perceived to reduce the frequency of nursing workarounds that could cause patient harm.</w:t>
            </w:r>
          </w:p>
        </w:tc>
        <w:tc>
          <w:tcPr>
            <w:tcW w:w="1800" w:type="dxa"/>
            <w:noWrap/>
          </w:tcPr>
          <w:p w14:paraId="5218D973"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Nurses often forgot to val</w:t>
            </w:r>
            <w:r>
              <w:rPr>
                <w:rFonts w:ascii="Arial" w:hAnsi="Arial" w:cs="Arial"/>
                <w:sz w:val="18"/>
                <w:szCs w:val="18"/>
              </w:rPr>
              <w:t xml:space="preserve">idate infusion completion times, </w:t>
            </w:r>
            <w:r w:rsidRPr="00F75B37">
              <w:rPr>
                <w:rFonts w:ascii="Arial" w:hAnsi="Arial" w:cs="Arial"/>
                <w:sz w:val="18"/>
                <w:szCs w:val="18"/>
              </w:rPr>
              <w:t>which led to large errors in recorded infusion volumes. Although the EMR automatically enters infused volumes into patients</w:t>
            </w:r>
            <w:r>
              <w:rPr>
                <w:rFonts w:ascii="Arial" w:hAnsi="Arial" w:cs="Arial"/>
                <w:sz w:val="18"/>
                <w:szCs w:val="18"/>
              </w:rPr>
              <w:t>’</w:t>
            </w:r>
            <w:r w:rsidRPr="00F75B37">
              <w:rPr>
                <w:rFonts w:ascii="Arial" w:hAnsi="Arial" w:cs="Arial"/>
                <w:sz w:val="18"/>
                <w:szCs w:val="18"/>
              </w:rPr>
              <w:t xml:space="preserve"> charts, nurses are required to manually validate completion times.</w:t>
            </w:r>
          </w:p>
          <w:p w14:paraId="1E5B013F"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IVCI significantly reduced the amount of time required by nurses to program the pumps but did not decrease their workload overall. Many nurses reported that IVCI increased the number of computer steps required to administer medications.</w:t>
            </w:r>
          </w:p>
          <w:p w14:paraId="244B9A04" w14:textId="77777777" w:rsidR="00B344BC" w:rsidRPr="00F75B37" w:rsidRDefault="00B344BC" w:rsidP="008A7983">
            <w:pPr>
              <w:spacing w:after="0"/>
              <w:rPr>
                <w:rFonts w:ascii="Arial" w:hAnsi="Arial" w:cs="Arial"/>
                <w:sz w:val="18"/>
                <w:szCs w:val="18"/>
              </w:rPr>
            </w:pPr>
            <w:r>
              <w:rPr>
                <w:rFonts w:ascii="Arial" w:hAnsi="Arial" w:cs="Arial"/>
                <w:sz w:val="18"/>
                <w:szCs w:val="18"/>
              </w:rPr>
              <w:t>There were c</w:t>
            </w:r>
            <w:r w:rsidRPr="00F75B37">
              <w:rPr>
                <w:rFonts w:ascii="Arial" w:hAnsi="Arial" w:cs="Arial"/>
                <w:sz w:val="18"/>
                <w:szCs w:val="18"/>
              </w:rPr>
              <w:t>hallenges gaining buy-in from nurses to adopt workflow changes</w:t>
            </w:r>
            <w:r>
              <w:rPr>
                <w:rFonts w:ascii="Arial" w:hAnsi="Arial" w:cs="Arial"/>
                <w:sz w:val="18"/>
                <w:szCs w:val="18"/>
              </w:rPr>
              <w:t>,</w:t>
            </w:r>
            <w:r w:rsidRPr="00F75B37">
              <w:rPr>
                <w:rFonts w:ascii="Arial" w:hAnsi="Arial" w:cs="Arial"/>
                <w:sz w:val="18"/>
                <w:szCs w:val="18"/>
              </w:rPr>
              <w:t xml:space="preserve"> and frontline staff expressed concerns regarding safety of workflow changes.</w:t>
            </w:r>
          </w:p>
          <w:p w14:paraId="036053EA"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Since not all units had IVCI, moving patients required special procedures.</w:t>
            </w:r>
          </w:p>
        </w:tc>
        <w:tc>
          <w:tcPr>
            <w:tcW w:w="2250" w:type="dxa"/>
          </w:tcPr>
          <w:p w14:paraId="217FDDEC"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IVCI implementation is not just a technological intervention, but also requires workflow standardization in order to be successful.</w:t>
            </w:r>
          </w:p>
        </w:tc>
        <w:tc>
          <w:tcPr>
            <w:tcW w:w="1075" w:type="dxa"/>
          </w:tcPr>
          <w:p w14:paraId="41717D20"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Moderate</w:t>
            </w:r>
          </w:p>
        </w:tc>
      </w:tr>
      <w:tr w:rsidR="00B344BC" w:rsidRPr="00F75B37" w14:paraId="1FB9DD4E" w14:textId="77777777" w:rsidTr="008A7983">
        <w:trPr>
          <w:cantSplit/>
        </w:trPr>
        <w:tc>
          <w:tcPr>
            <w:tcW w:w="1075" w:type="dxa"/>
            <w:noWrap/>
          </w:tcPr>
          <w:p w14:paraId="7FE50051" w14:textId="77777777" w:rsidR="00B344BC" w:rsidRPr="00372773" w:rsidRDefault="00B344BC" w:rsidP="008A7983">
            <w:pPr>
              <w:spacing w:after="0"/>
              <w:rPr>
                <w:rFonts w:ascii="Arial" w:hAnsi="Arial" w:cs="Arial"/>
                <w:b/>
                <w:sz w:val="18"/>
                <w:szCs w:val="18"/>
                <w:vertAlign w:val="superscript"/>
              </w:rPr>
            </w:pPr>
            <w:proofErr w:type="spellStart"/>
            <w:r w:rsidRPr="00372773">
              <w:rPr>
                <w:rFonts w:ascii="Arial" w:hAnsi="Arial" w:cs="Arial"/>
                <w:b/>
                <w:sz w:val="18"/>
                <w:szCs w:val="18"/>
              </w:rPr>
              <w:lastRenderedPageBreak/>
              <w:t>DeGraff</w:t>
            </w:r>
            <w:proofErr w:type="spellEnd"/>
            <w:r w:rsidRPr="00372773">
              <w:rPr>
                <w:rFonts w:ascii="Arial" w:hAnsi="Arial" w:cs="Arial"/>
                <w:b/>
                <w:sz w:val="18"/>
                <w:szCs w:val="18"/>
              </w:rPr>
              <w:t>, 2013</w:t>
            </w:r>
            <w:r w:rsidRPr="00372773">
              <w:rPr>
                <w:rFonts w:ascii="Arial" w:hAnsi="Arial" w:cs="Arial"/>
                <w:b/>
                <w:sz w:val="18"/>
                <w:szCs w:val="18"/>
                <w:vertAlign w:val="superscript"/>
              </w:rPr>
              <w:t>8</w:t>
            </w:r>
          </w:p>
        </w:tc>
        <w:tc>
          <w:tcPr>
            <w:tcW w:w="2160" w:type="dxa"/>
          </w:tcPr>
          <w:p w14:paraId="0F4A2D26"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In response to a shortage of IV pumps and staff members hoarding pumps, the team created a new procedure for cleaning and restocking pumps on floors. This allowed staff to easily see when the supply fell below a set minimum and pumps needed to be restocked.</w:t>
            </w:r>
          </w:p>
        </w:tc>
        <w:tc>
          <w:tcPr>
            <w:tcW w:w="1620" w:type="dxa"/>
          </w:tcPr>
          <w:p w14:paraId="2BB2B8E3"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Case study</w:t>
            </w:r>
          </w:p>
        </w:tc>
        <w:tc>
          <w:tcPr>
            <w:tcW w:w="1170" w:type="dxa"/>
            <w:noWrap/>
          </w:tcPr>
          <w:p w14:paraId="026BAB25" w14:textId="77777777" w:rsidR="00B344BC" w:rsidRPr="00F75B37" w:rsidRDefault="00B344BC" w:rsidP="008A7983">
            <w:pPr>
              <w:spacing w:after="0"/>
              <w:rPr>
                <w:rFonts w:ascii="Arial" w:hAnsi="Arial" w:cs="Arial"/>
                <w:sz w:val="18"/>
                <w:szCs w:val="18"/>
              </w:rPr>
            </w:pPr>
            <w:r>
              <w:rPr>
                <w:rFonts w:ascii="Arial" w:hAnsi="Arial" w:cs="Arial"/>
                <w:sz w:val="18"/>
                <w:szCs w:val="18"/>
              </w:rPr>
              <w:t>Five hundred seventy</w:t>
            </w:r>
            <w:r w:rsidRPr="00F75B37">
              <w:rPr>
                <w:rFonts w:ascii="Arial" w:hAnsi="Arial" w:cs="Arial"/>
                <w:sz w:val="18"/>
                <w:szCs w:val="18"/>
              </w:rPr>
              <w:t xml:space="preserve">-bed regional referral center and teaching hospital, </w:t>
            </w:r>
            <w:r>
              <w:rPr>
                <w:rFonts w:ascii="Arial" w:hAnsi="Arial" w:cs="Arial"/>
                <w:sz w:val="18"/>
                <w:szCs w:val="18"/>
              </w:rPr>
              <w:t>United States</w:t>
            </w:r>
          </w:p>
        </w:tc>
        <w:tc>
          <w:tcPr>
            <w:tcW w:w="1800" w:type="dxa"/>
            <w:noWrap/>
          </w:tcPr>
          <w:p w14:paraId="77915346"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 xml:space="preserve">New process reduced pump handling steps from 26 to </w:t>
            </w:r>
            <w:r>
              <w:rPr>
                <w:rFonts w:ascii="Arial" w:hAnsi="Arial" w:cs="Arial"/>
                <w:sz w:val="18"/>
                <w:szCs w:val="18"/>
              </w:rPr>
              <w:t>8</w:t>
            </w:r>
            <w:r w:rsidRPr="00F75B37">
              <w:rPr>
                <w:rFonts w:ascii="Arial" w:hAnsi="Arial" w:cs="Arial"/>
                <w:sz w:val="18"/>
                <w:szCs w:val="18"/>
              </w:rPr>
              <w:t>.</w:t>
            </w:r>
          </w:p>
          <w:p w14:paraId="1D34A469"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Pumps were available when needed 94% of the time, compared to 28% before implementation.</w:t>
            </w:r>
          </w:p>
        </w:tc>
        <w:tc>
          <w:tcPr>
            <w:tcW w:w="1800" w:type="dxa"/>
            <w:noWrap/>
          </w:tcPr>
          <w:p w14:paraId="079423FE" w14:textId="77777777" w:rsidR="00B344BC" w:rsidRPr="00F75B37" w:rsidRDefault="00B344BC" w:rsidP="008A7983">
            <w:pPr>
              <w:spacing w:after="0"/>
              <w:rPr>
                <w:rFonts w:ascii="Arial" w:hAnsi="Arial" w:cs="Arial"/>
                <w:sz w:val="18"/>
                <w:szCs w:val="18"/>
              </w:rPr>
            </w:pPr>
            <w:r>
              <w:rPr>
                <w:rFonts w:ascii="Arial" w:hAnsi="Arial" w:cs="Arial"/>
                <w:sz w:val="18"/>
                <w:szCs w:val="18"/>
              </w:rPr>
              <w:t>Not provided</w:t>
            </w:r>
          </w:p>
        </w:tc>
        <w:tc>
          <w:tcPr>
            <w:tcW w:w="2250" w:type="dxa"/>
          </w:tcPr>
          <w:p w14:paraId="59358490"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Hospital dramatically improved utilization of IV infusion pumps by streamlining their workflow.</w:t>
            </w:r>
          </w:p>
        </w:tc>
        <w:tc>
          <w:tcPr>
            <w:tcW w:w="1075" w:type="dxa"/>
          </w:tcPr>
          <w:p w14:paraId="752B787A"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High—case study</w:t>
            </w:r>
          </w:p>
        </w:tc>
      </w:tr>
      <w:tr w:rsidR="00B344BC" w:rsidRPr="00F75B37" w14:paraId="53EFA088" w14:textId="77777777" w:rsidTr="008A7983">
        <w:trPr>
          <w:cantSplit/>
        </w:trPr>
        <w:tc>
          <w:tcPr>
            <w:tcW w:w="1075" w:type="dxa"/>
            <w:noWrap/>
          </w:tcPr>
          <w:p w14:paraId="386BABEA" w14:textId="77777777" w:rsidR="00B344BC" w:rsidRPr="00372773" w:rsidRDefault="00B344BC" w:rsidP="008A7983">
            <w:pPr>
              <w:spacing w:after="0"/>
              <w:rPr>
                <w:rFonts w:ascii="Arial" w:hAnsi="Arial" w:cs="Arial"/>
                <w:b/>
                <w:sz w:val="18"/>
                <w:szCs w:val="18"/>
                <w:vertAlign w:val="superscript"/>
              </w:rPr>
            </w:pPr>
            <w:proofErr w:type="spellStart"/>
            <w:r w:rsidRPr="00372773">
              <w:rPr>
                <w:rFonts w:ascii="Arial" w:hAnsi="Arial" w:cs="Arial"/>
                <w:b/>
                <w:sz w:val="18"/>
                <w:szCs w:val="18"/>
              </w:rPr>
              <w:t>Iacovides</w:t>
            </w:r>
            <w:proofErr w:type="spellEnd"/>
            <w:r w:rsidRPr="00372773">
              <w:rPr>
                <w:rFonts w:ascii="Arial" w:hAnsi="Arial" w:cs="Arial"/>
                <w:b/>
                <w:sz w:val="18"/>
                <w:szCs w:val="18"/>
              </w:rPr>
              <w:t xml:space="preserve"> et al., 2014</w:t>
            </w:r>
            <w:r w:rsidRPr="00372773">
              <w:rPr>
                <w:rFonts w:ascii="Arial" w:hAnsi="Arial" w:cs="Arial"/>
                <w:b/>
                <w:sz w:val="18"/>
                <w:szCs w:val="18"/>
                <w:vertAlign w:val="superscript"/>
              </w:rPr>
              <w:t>12</w:t>
            </w:r>
          </w:p>
        </w:tc>
        <w:tc>
          <w:tcPr>
            <w:tcW w:w="2160" w:type="dxa"/>
          </w:tcPr>
          <w:p w14:paraId="15AEFACA"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Survey investigated the extent to which standardization of infusion devices has occurred.</w:t>
            </w:r>
          </w:p>
        </w:tc>
        <w:tc>
          <w:tcPr>
            <w:tcW w:w="1620" w:type="dxa"/>
          </w:tcPr>
          <w:p w14:paraId="74D7D57F"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 xml:space="preserve">Online survey sent to device managers and trainers within </w:t>
            </w:r>
            <w:r>
              <w:rPr>
                <w:rFonts w:ascii="Arial" w:hAnsi="Arial" w:cs="Arial"/>
                <w:sz w:val="18"/>
                <w:szCs w:val="18"/>
              </w:rPr>
              <w:t>National Health Service (</w:t>
            </w:r>
            <w:r w:rsidRPr="00F75B37">
              <w:rPr>
                <w:rFonts w:ascii="Arial" w:hAnsi="Arial" w:cs="Arial"/>
                <w:sz w:val="18"/>
                <w:szCs w:val="18"/>
              </w:rPr>
              <w:t>NHS</w:t>
            </w:r>
            <w:r>
              <w:rPr>
                <w:rFonts w:ascii="Arial" w:hAnsi="Arial" w:cs="Arial"/>
                <w:sz w:val="18"/>
                <w:szCs w:val="18"/>
              </w:rPr>
              <w:t>)</w:t>
            </w:r>
            <w:r w:rsidRPr="00F75B37">
              <w:rPr>
                <w:rFonts w:ascii="Arial" w:hAnsi="Arial" w:cs="Arial"/>
                <w:sz w:val="18"/>
                <w:szCs w:val="18"/>
              </w:rPr>
              <w:t xml:space="preserve"> organizations.</w:t>
            </w:r>
          </w:p>
          <w:p w14:paraId="1726593B"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Forty-five respondents participated in study.</w:t>
            </w:r>
          </w:p>
        </w:tc>
        <w:tc>
          <w:tcPr>
            <w:tcW w:w="1170" w:type="dxa"/>
            <w:noWrap/>
          </w:tcPr>
          <w:p w14:paraId="3539FC15" w14:textId="77777777" w:rsidR="00B344BC" w:rsidRPr="00F75B37" w:rsidRDefault="00B344BC" w:rsidP="008A7983">
            <w:pPr>
              <w:pStyle w:val="Default"/>
              <w:rPr>
                <w:rFonts w:ascii="Arial" w:hAnsi="Arial" w:cs="Arial"/>
                <w:sz w:val="18"/>
                <w:szCs w:val="18"/>
              </w:rPr>
            </w:pPr>
            <w:proofErr w:type="gramStart"/>
            <w:r w:rsidRPr="00F75B37">
              <w:rPr>
                <w:rFonts w:ascii="Arial" w:hAnsi="Arial" w:cs="Arial"/>
                <w:sz w:val="18"/>
                <w:szCs w:val="18"/>
              </w:rPr>
              <w:t>Staff were</w:t>
            </w:r>
            <w:proofErr w:type="gramEnd"/>
            <w:r w:rsidRPr="00F75B37">
              <w:rPr>
                <w:rFonts w:ascii="Arial" w:hAnsi="Arial" w:cs="Arial"/>
                <w:sz w:val="18"/>
                <w:szCs w:val="18"/>
              </w:rPr>
              <w:t xml:space="preserve"> involved within 49 U</w:t>
            </w:r>
            <w:r>
              <w:rPr>
                <w:rFonts w:ascii="Arial" w:hAnsi="Arial" w:cs="Arial"/>
                <w:sz w:val="18"/>
                <w:szCs w:val="18"/>
              </w:rPr>
              <w:t>.</w:t>
            </w:r>
            <w:r w:rsidRPr="00F75B37">
              <w:rPr>
                <w:rFonts w:ascii="Arial" w:hAnsi="Arial" w:cs="Arial"/>
                <w:sz w:val="18"/>
                <w:szCs w:val="18"/>
              </w:rPr>
              <w:t>K</w:t>
            </w:r>
            <w:r>
              <w:rPr>
                <w:rFonts w:ascii="Arial" w:hAnsi="Arial" w:cs="Arial"/>
                <w:sz w:val="18"/>
                <w:szCs w:val="18"/>
              </w:rPr>
              <w:t>.</w:t>
            </w:r>
            <w:r w:rsidRPr="00F75B37">
              <w:rPr>
                <w:rFonts w:ascii="Arial" w:hAnsi="Arial" w:cs="Arial"/>
                <w:sz w:val="18"/>
                <w:szCs w:val="18"/>
              </w:rPr>
              <w:t xml:space="preserve"> organizations representing 120 hospitals. United Kingdom.</w:t>
            </w:r>
          </w:p>
        </w:tc>
        <w:tc>
          <w:tcPr>
            <w:tcW w:w="1800" w:type="dxa"/>
            <w:noWrap/>
          </w:tcPr>
          <w:p w14:paraId="0C888EB1"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A high level of standardization was reported</w:t>
            </w:r>
            <w:r>
              <w:rPr>
                <w:rFonts w:ascii="Arial" w:hAnsi="Arial" w:cs="Arial"/>
                <w:sz w:val="18"/>
                <w:szCs w:val="18"/>
              </w:rPr>
              <w:t>.</w:t>
            </w:r>
            <w:r w:rsidRPr="00F75B37">
              <w:rPr>
                <w:rFonts w:ascii="Arial" w:hAnsi="Arial" w:cs="Arial"/>
                <w:sz w:val="18"/>
                <w:szCs w:val="18"/>
              </w:rPr>
              <w:t xml:space="preserve"> (</w:t>
            </w:r>
            <w:r>
              <w:rPr>
                <w:rFonts w:ascii="Arial" w:hAnsi="Arial" w:cs="Arial"/>
                <w:sz w:val="18"/>
                <w:szCs w:val="18"/>
              </w:rPr>
              <w:t>O</w:t>
            </w:r>
            <w:r w:rsidRPr="00F75B37">
              <w:rPr>
                <w:rFonts w:ascii="Arial" w:hAnsi="Arial" w:cs="Arial"/>
                <w:sz w:val="18"/>
                <w:szCs w:val="18"/>
              </w:rPr>
              <w:t>nly 4% reported there was no standardization at all</w:t>
            </w:r>
            <w:r>
              <w:rPr>
                <w:rFonts w:ascii="Arial" w:hAnsi="Arial" w:cs="Arial"/>
                <w:sz w:val="18"/>
                <w:szCs w:val="18"/>
              </w:rPr>
              <w:t>.</w:t>
            </w:r>
            <w:r w:rsidRPr="00F75B37">
              <w:rPr>
                <w:rFonts w:ascii="Arial" w:hAnsi="Arial" w:cs="Arial"/>
                <w:sz w:val="18"/>
                <w:szCs w:val="18"/>
              </w:rPr>
              <w:t>)</w:t>
            </w:r>
          </w:p>
        </w:tc>
        <w:tc>
          <w:tcPr>
            <w:tcW w:w="1800" w:type="dxa"/>
            <w:noWrap/>
          </w:tcPr>
          <w:p w14:paraId="6DD6E6B4"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 xml:space="preserve">Reasons for not using </w:t>
            </w:r>
            <w:r>
              <w:rPr>
                <w:rFonts w:ascii="Arial" w:hAnsi="Arial" w:cs="Arial"/>
                <w:sz w:val="18"/>
                <w:szCs w:val="18"/>
              </w:rPr>
              <w:t>dose error reduction software</w:t>
            </w:r>
            <w:r w:rsidRPr="00F75B37">
              <w:rPr>
                <w:rFonts w:ascii="Arial" w:hAnsi="Arial" w:cs="Arial"/>
                <w:sz w:val="18"/>
                <w:szCs w:val="18"/>
              </w:rPr>
              <w:t xml:space="preserve"> included time required to implement and train staff, and not being able to standardize across the entire site.</w:t>
            </w:r>
          </w:p>
        </w:tc>
        <w:tc>
          <w:tcPr>
            <w:tcW w:w="2250" w:type="dxa"/>
          </w:tcPr>
          <w:p w14:paraId="685D6F64"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To implement technology, organizations need to overcome challenges</w:t>
            </w:r>
            <w:r>
              <w:rPr>
                <w:rFonts w:ascii="Arial" w:hAnsi="Arial" w:cs="Arial"/>
                <w:sz w:val="18"/>
                <w:szCs w:val="18"/>
              </w:rPr>
              <w:t>,</w:t>
            </w:r>
            <w:r w:rsidRPr="00F75B37">
              <w:rPr>
                <w:rFonts w:ascii="Arial" w:hAnsi="Arial" w:cs="Arial"/>
                <w:sz w:val="18"/>
                <w:szCs w:val="18"/>
              </w:rPr>
              <w:t xml:space="preserve"> including existing device contracts, infrastructure and resources available, required time and investment, and complications related to lack of standardization.</w:t>
            </w:r>
          </w:p>
        </w:tc>
        <w:tc>
          <w:tcPr>
            <w:tcW w:w="1075" w:type="dxa"/>
          </w:tcPr>
          <w:p w14:paraId="63872DA9"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Moderate</w:t>
            </w:r>
          </w:p>
        </w:tc>
      </w:tr>
      <w:tr w:rsidR="00B344BC" w:rsidRPr="00F75B37" w14:paraId="63698EBB" w14:textId="77777777" w:rsidTr="008A7983">
        <w:trPr>
          <w:cantSplit/>
        </w:trPr>
        <w:tc>
          <w:tcPr>
            <w:tcW w:w="1075" w:type="dxa"/>
            <w:noWrap/>
          </w:tcPr>
          <w:p w14:paraId="2AEE7014" w14:textId="77777777" w:rsidR="00B344BC" w:rsidRPr="00372773" w:rsidRDefault="00B344BC" w:rsidP="008A7983">
            <w:pPr>
              <w:spacing w:after="0"/>
              <w:rPr>
                <w:rFonts w:ascii="Arial" w:hAnsi="Arial" w:cs="Arial"/>
                <w:b/>
                <w:sz w:val="18"/>
                <w:szCs w:val="18"/>
                <w:vertAlign w:val="superscript"/>
              </w:rPr>
            </w:pPr>
            <w:r w:rsidRPr="00372773">
              <w:rPr>
                <w:rFonts w:ascii="Arial" w:hAnsi="Arial" w:cs="Arial"/>
                <w:b/>
                <w:sz w:val="18"/>
                <w:szCs w:val="18"/>
              </w:rPr>
              <w:lastRenderedPageBreak/>
              <w:t>Lyons et al., 2018</w:t>
            </w:r>
            <w:r w:rsidRPr="00372773">
              <w:rPr>
                <w:rFonts w:ascii="Arial" w:hAnsi="Arial" w:cs="Arial"/>
                <w:b/>
                <w:sz w:val="18"/>
                <w:szCs w:val="18"/>
                <w:vertAlign w:val="superscript"/>
              </w:rPr>
              <w:t>7</w:t>
            </w:r>
          </w:p>
        </w:tc>
        <w:tc>
          <w:tcPr>
            <w:tcW w:w="2160" w:type="dxa"/>
          </w:tcPr>
          <w:p w14:paraId="184E6D9C"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Observers compared medications being administered against the prescription and local policies/guidance. Recorded any deviations from a prescriber</w:t>
            </w:r>
            <w:r>
              <w:rPr>
                <w:rFonts w:ascii="Arial" w:hAnsi="Arial" w:cs="Arial"/>
                <w:sz w:val="18"/>
                <w:szCs w:val="18"/>
              </w:rPr>
              <w:t>’</w:t>
            </w:r>
            <w:r w:rsidRPr="00F75B37">
              <w:rPr>
                <w:rFonts w:ascii="Arial" w:hAnsi="Arial" w:cs="Arial"/>
                <w:sz w:val="18"/>
                <w:szCs w:val="18"/>
              </w:rPr>
              <w:t>s written or electronic medication order, the hospital</w:t>
            </w:r>
            <w:r>
              <w:rPr>
                <w:rFonts w:ascii="Arial" w:hAnsi="Arial" w:cs="Arial"/>
                <w:sz w:val="18"/>
                <w:szCs w:val="18"/>
              </w:rPr>
              <w:t>’</w:t>
            </w:r>
            <w:r w:rsidRPr="00F75B37">
              <w:rPr>
                <w:rFonts w:ascii="Arial" w:hAnsi="Arial" w:cs="Arial"/>
                <w:sz w:val="18"/>
                <w:szCs w:val="18"/>
              </w:rPr>
              <w:t>s intravenous policy and guidelines, or the manufacturer</w:t>
            </w:r>
            <w:r>
              <w:rPr>
                <w:rFonts w:ascii="Arial" w:hAnsi="Arial" w:cs="Arial"/>
                <w:sz w:val="18"/>
                <w:szCs w:val="18"/>
              </w:rPr>
              <w:t>’</w:t>
            </w:r>
            <w:r w:rsidRPr="00F75B37">
              <w:rPr>
                <w:rFonts w:ascii="Arial" w:hAnsi="Arial" w:cs="Arial"/>
                <w:sz w:val="18"/>
                <w:szCs w:val="18"/>
              </w:rPr>
              <w:t>s instructions.</w:t>
            </w:r>
          </w:p>
        </w:tc>
        <w:tc>
          <w:tcPr>
            <w:tcW w:w="1620" w:type="dxa"/>
          </w:tcPr>
          <w:p w14:paraId="13CFB1F2"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Point prevalence observational study.</w:t>
            </w:r>
          </w:p>
          <w:p w14:paraId="21EA5434"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 xml:space="preserve">Data were collected </w:t>
            </w:r>
            <w:r>
              <w:rPr>
                <w:rFonts w:ascii="Arial" w:hAnsi="Arial" w:cs="Arial"/>
                <w:sz w:val="18"/>
                <w:szCs w:val="18"/>
              </w:rPr>
              <w:t>on</w:t>
            </w:r>
            <w:r w:rsidRPr="00F75B37">
              <w:rPr>
                <w:rFonts w:ascii="Arial" w:hAnsi="Arial" w:cs="Arial"/>
                <w:sz w:val="18"/>
                <w:szCs w:val="18"/>
              </w:rPr>
              <w:t xml:space="preserve"> 1,326 patients who were administered 2008 infusions.</w:t>
            </w:r>
          </w:p>
        </w:tc>
        <w:tc>
          <w:tcPr>
            <w:tcW w:w="1170" w:type="dxa"/>
            <w:noWrap/>
          </w:tcPr>
          <w:p w14:paraId="35AD06B7"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16 NHS trusts, England</w:t>
            </w:r>
            <w:r>
              <w:rPr>
                <w:rFonts w:ascii="Arial" w:hAnsi="Arial" w:cs="Arial"/>
                <w:sz w:val="18"/>
                <w:szCs w:val="18"/>
              </w:rPr>
              <w:t>.</w:t>
            </w:r>
          </w:p>
        </w:tc>
        <w:tc>
          <w:tcPr>
            <w:tcW w:w="1800" w:type="dxa"/>
            <w:noWrap/>
          </w:tcPr>
          <w:p w14:paraId="49E75A52"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Most (90%) of the observed errors were considered unlikely to cause harm.</w:t>
            </w:r>
          </w:p>
          <w:p w14:paraId="4B80CC56"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One site responded to poor compliance with documentation of medication administration by purchasing handheld computers to allow staff to access electronic records in closer proximity to patients.</w:t>
            </w:r>
          </w:p>
        </w:tc>
        <w:tc>
          <w:tcPr>
            <w:tcW w:w="1800" w:type="dxa"/>
            <w:noWrap/>
          </w:tcPr>
          <w:p w14:paraId="272BE333"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Nearly 48% (47.9%) of infusions had at least one procedural or documentation error. Non-compliance with hospital requirements for labeling infusion administration sets was most common.</w:t>
            </w:r>
          </w:p>
          <w:p w14:paraId="59B7DAD7"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Discrepancy rates were higher in infusions delivered using smart pumps compared to those without safety features. Differences were linked with policy requirements. Error rates were similar.</w:t>
            </w:r>
          </w:p>
        </w:tc>
        <w:tc>
          <w:tcPr>
            <w:tcW w:w="2250" w:type="dxa"/>
          </w:tcPr>
          <w:p w14:paraId="7D535699"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Procedural deviations may not always represent poor practice, but rather poor fit between policy and everyday practice.</w:t>
            </w:r>
          </w:p>
        </w:tc>
        <w:tc>
          <w:tcPr>
            <w:tcW w:w="1075" w:type="dxa"/>
          </w:tcPr>
          <w:p w14:paraId="012E2C63"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Moderate</w:t>
            </w:r>
          </w:p>
        </w:tc>
      </w:tr>
      <w:tr w:rsidR="00B344BC" w:rsidRPr="00F75B37" w14:paraId="243B14D5" w14:textId="77777777" w:rsidTr="008A7983">
        <w:trPr>
          <w:cantSplit/>
        </w:trPr>
        <w:tc>
          <w:tcPr>
            <w:tcW w:w="1075" w:type="dxa"/>
            <w:noWrap/>
          </w:tcPr>
          <w:p w14:paraId="639581AF" w14:textId="77777777" w:rsidR="00B344BC" w:rsidRPr="00372773" w:rsidRDefault="00B344BC" w:rsidP="008A7983">
            <w:pPr>
              <w:spacing w:after="0"/>
              <w:rPr>
                <w:rFonts w:ascii="Arial" w:hAnsi="Arial" w:cs="Arial"/>
                <w:b/>
                <w:sz w:val="18"/>
                <w:szCs w:val="18"/>
                <w:vertAlign w:val="superscript"/>
              </w:rPr>
            </w:pPr>
            <w:proofErr w:type="spellStart"/>
            <w:r w:rsidRPr="00372773">
              <w:rPr>
                <w:rFonts w:ascii="Arial" w:hAnsi="Arial" w:cs="Arial"/>
                <w:b/>
                <w:sz w:val="18"/>
                <w:szCs w:val="18"/>
              </w:rPr>
              <w:lastRenderedPageBreak/>
              <w:t>Pinkney</w:t>
            </w:r>
            <w:proofErr w:type="spellEnd"/>
            <w:r w:rsidRPr="00372773">
              <w:rPr>
                <w:rFonts w:ascii="Arial" w:hAnsi="Arial" w:cs="Arial"/>
                <w:b/>
                <w:sz w:val="18"/>
                <w:szCs w:val="18"/>
              </w:rPr>
              <w:t xml:space="preserve"> et al., 2010</w:t>
            </w:r>
            <w:r w:rsidRPr="00372773">
              <w:rPr>
                <w:rFonts w:ascii="Arial" w:hAnsi="Arial" w:cs="Arial"/>
                <w:b/>
                <w:sz w:val="18"/>
                <w:szCs w:val="18"/>
                <w:vertAlign w:val="superscript"/>
              </w:rPr>
              <w:t>11</w:t>
            </w:r>
          </w:p>
        </w:tc>
        <w:tc>
          <w:tcPr>
            <w:tcW w:w="2160" w:type="dxa"/>
          </w:tcPr>
          <w:p w14:paraId="799D1580"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Conducted 3 experiments to quantify the impact of infusion pump type, smart pump design, and training on nurses</w:t>
            </w:r>
            <w:r>
              <w:rPr>
                <w:rFonts w:ascii="Arial" w:hAnsi="Arial" w:cs="Arial"/>
                <w:sz w:val="18"/>
                <w:szCs w:val="18"/>
              </w:rPr>
              <w:t>’</w:t>
            </w:r>
            <w:r w:rsidRPr="00F75B37">
              <w:rPr>
                <w:rFonts w:ascii="Arial" w:hAnsi="Arial" w:cs="Arial"/>
                <w:sz w:val="18"/>
                <w:szCs w:val="18"/>
              </w:rPr>
              <w:t xml:space="preserve"> ability to safety deliver IV medications.</w:t>
            </w:r>
          </w:p>
        </w:tc>
        <w:tc>
          <w:tcPr>
            <w:tcW w:w="1620" w:type="dxa"/>
          </w:tcPr>
          <w:p w14:paraId="1A4EC42A"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Conducted 3 observational studies</w:t>
            </w:r>
            <w:r>
              <w:rPr>
                <w:rFonts w:ascii="Arial" w:hAnsi="Arial" w:cs="Arial"/>
                <w:sz w:val="18"/>
                <w:szCs w:val="18"/>
              </w:rPr>
              <w:t>.</w:t>
            </w:r>
          </w:p>
        </w:tc>
        <w:tc>
          <w:tcPr>
            <w:tcW w:w="1170" w:type="dxa"/>
            <w:noWrap/>
          </w:tcPr>
          <w:p w14:paraId="5AC8520D"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Usability lab that simulated an inpatient unit, Canada</w:t>
            </w:r>
            <w:r>
              <w:rPr>
                <w:rFonts w:ascii="Arial" w:hAnsi="Arial" w:cs="Arial"/>
                <w:sz w:val="18"/>
                <w:szCs w:val="18"/>
              </w:rPr>
              <w:t>.</w:t>
            </w:r>
          </w:p>
        </w:tc>
        <w:tc>
          <w:tcPr>
            <w:tcW w:w="1800" w:type="dxa"/>
            <w:noWrap/>
          </w:tcPr>
          <w:p w14:paraId="5200B1E9"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Smart infusion systems were found to statistically reduce the rate of medication errors.</w:t>
            </w:r>
          </w:p>
          <w:p w14:paraId="7FB614C7"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 xml:space="preserve">Users programmed almost all infusions within a drug library when the pump workflow either </w:t>
            </w:r>
            <w:proofErr w:type="gramStart"/>
            <w:r w:rsidRPr="00F75B37">
              <w:rPr>
                <w:rFonts w:ascii="Arial" w:hAnsi="Arial" w:cs="Arial"/>
                <w:sz w:val="18"/>
                <w:szCs w:val="18"/>
              </w:rPr>
              <w:t>defaulted</w:t>
            </w:r>
            <w:proofErr w:type="gramEnd"/>
            <w:r w:rsidRPr="00F75B37">
              <w:rPr>
                <w:rFonts w:ascii="Arial" w:hAnsi="Arial" w:cs="Arial"/>
                <w:sz w:val="18"/>
                <w:szCs w:val="18"/>
              </w:rPr>
              <w:t xml:space="preserve"> them into the drug library or prompted them to use the drug library.</w:t>
            </w:r>
          </w:p>
        </w:tc>
        <w:tc>
          <w:tcPr>
            <w:tcW w:w="1800" w:type="dxa"/>
            <w:noWrap/>
          </w:tcPr>
          <w:p w14:paraId="07480E08"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Soft limit warnings had no impact on preventing errors since nurses simply overrode them.</w:t>
            </w:r>
          </w:p>
        </w:tc>
        <w:tc>
          <w:tcPr>
            <w:tcW w:w="2250" w:type="dxa"/>
          </w:tcPr>
          <w:p w14:paraId="724F0692"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Smart pumps that rely on users actively engaging the drug library are less preferable to those that encourage/require nurses to enter into the drug library. Supporting and constraining users to follow the preferred workflow is a design-oriented solution that can help ensure users employ the safety features of the smart pump.</w:t>
            </w:r>
          </w:p>
          <w:p w14:paraId="5CBBFBAF"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Smart pump implementation should be viewed as part of a larger safety initiative</w:t>
            </w:r>
            <w:r>
              <w:rPr>
                <w:rFonts w:ascii="Arial" w:hAnsi="Arial" w:cs="Arial"/>
                <w:sz w:val="18"/>
                <w:szCs w:val="18"/>
              </w:rPr>
              <w:t>,</w:t>
            </w:r>
            <w:r w:rsidRPr="00F75B37">
              <w:rPr>
                <w:rFonts w:ascii="Arial" w:hAnsi="Arial" w:cs="Arial"/>
                <w:sz w:val="18"/>
                <w:szCs w:val="18"/>
              </w:rPr>
              <w:t xml:space="preserve"> not just technology replacement. Implementation should focus on design of workflows and environments.</w:t>
            </w:r>
          </w:p>
        </w:tc>
        <w:tc>
          <w:tcPr>
            <w:tcW w:w="1075" w:type="dxa"/>
          </w:tcPr>
          <w:p w14:paraId="32B3511A"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Moderate</w:t>
            </w:r>
          </w:p>
        </w:tc>
      </w:tr>
      <w:tr w:rsidR="00B344BC" w:rsidRPr="00F75B37" w14:paraId="4FA396EA" w14:textId="77777777" w:rsidTr="008A7983">
        <w:trPr>
          <w:cantSplit/>
        </w:trPr>
        <w:tc>
          <w:tcPr>
            <w:tcW w:w="1075" w:type="dxa"/>
            <w:noWrap/>
          </w:tcPr>
          <w:p w14:paraId="099B06AD" w14:textId="77777777" w:rsidR="00B344BC" w:rsidRPr="00372773" w:rsidRDefault="00B344BC" w:rsidP="008A7983">
            <w:pPr>
              <w:spacing w:after="0"/>
              <w:rPr>
                <w:rFonts w:ascii="Arial" w:hAnsi="Arial" w:cs="Arial"/>
                <w:b/>
                <w:sz w:val="18"/>
                <w:szCs w:val="18"/>
                <w:vertAlign w:val="superscript"/>
              </w:rPr>
            </w:pPr>
            <w:r w:rsidRPr="00372773">
              <w:rPr>
                <w:rFonts w:ascii="Arial" w:hAnsi="Arial" w:cs="Arial"/>
                <w:b/>
                <w:sz w:val="18"/>
                <w:szCs w:val="18"/>
              </w:rPr>
              <w:lastRenderedPageBreak/>
              <w:t>Russell et al., 2015</w:t>
            </w:r>
            <w:r w:rsidRPr="00372773">
              <w:rPr>
                <w:rFonts w:ascii="Arial" w:hAnsi="Arial" w:cs="Arial"/>
                <w:b/>
                <w:sz w:val="18"/>
                <w:szCs w:val="18"/>
                <w:vertAlign w:val="superscript"/>
              </w:rPr>
              <w:t>4</w:t>
            </w:r>
          </w:p>
        </w:tc>
        <w:tc>
          <w:tcPr>
            <w:tcW w:w="2160" w:type="dxa"/>
          </w:tcPr>
          <w:p w14:paraId="1B5BBF6A"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 xml:space="preserve">Study examined the impact of a bidirectional interface between CPOE and pharmacy systems on the frequency and types of discrepancies between orders for medication and </w:t>
            </w:r>
            <w:r>
              <w:rPr>
                <w:rFonts w:ascii="Arial" w:hAnsi="Arial" w:cs="Arial"/>
                <w:sz w:val="18"/>
                <w:szCs w:val="18"/>
              </w:rPr>
              <w:t>intravenous fluid (</w:t>
            </w:r>
            <w:r w:rsidRPr="00F75B37">
              <w:rPr>
                <w:rFonts w:ascii="Arial" w:hAnsi="Arial" w:cs="Arial"/>
                <w:sz w:val="18"/>
                <w:szCs w:val="18"/>
              </w:rPr>
              <w:t>IVF</w:t>
            </w:r>
            <w:r>
              <w:rPr>
                <w:rFonts w:ascii="Arial" w:hAnsi="Arial" w:cs="Arial"/>
                <w:sz w:val="18"/>
                <w:szCs w:val="18"/>
              </w:rPr>
              <w:t>)</w:t>
            </w:r>
            <w:r w:rsidRPr="00F75B37">
              <w:rPr>
                <w:rFonts w:ascii="Arial" w:hAnsi="Arial" w:cs="Arial"/>
                <w:sz w:val="18"/>
                <w:szCs w:val="18"/>
              </w:rPr>
              <w:t xml:space="preserve"> infusions and pump settings.</w:t>
            </w:r>
          </w:p>
          <w:p w14:paraId="29CB1190" w14:textId="77777777" w:rsidR="00B344BC" w:rsidRPr="00F75B37" w:rsidRDefault="00B344BC" w:rsidP="008A7983">
            <w:pPr>
              <w:spacing w:after="0"/>
              <w:rPr>
                <w:rFonts w:ascii="Arial" w:hAnsi="Arial" w:cs="Arial"/>
                <w:sz w:val="18"/>
                <w:szCs w:val="18"/>
              </w:rPr>
            </w:pPr>
            <w:r>
              <w:rPr>
                <w:rFonts w:ascii="Arial" w:hAnsi="Arial" w:cs="Arial"/>
                <w:sz w:val="18"/>
                <w:szCs w:val="18"/>
              </w:rPr>
              <w:t>Pediatric intensive care unit (</w:t>
            </w:r>
            <w:r w:rsidRPr="00F75B37">
              <w:rPr>
                <w:rFonts w:ascii="Arial" w:hAnsi="Arial" w:cs="Arial"/>
                <w:sz w:val="18"/>
                <w:szCs w:val="18"/>
              </w:rPr>
              <w:t>PICU</w:t>
            </w:r>
            <w:r>
              <w:rPr>
                <w:rFonts w:ascii="Arial" w:hAnsi="Arial" w:cs="Arial"/>
                <w:sz w:val="18"/>
                <w:szCs w:val="18"/>
              </w:rPr>
              <w:t>)</w:t>
            </w:r>
            <w:r w:rsidRPr="00F75B37">
              <w:rPr>
                <w:rFonts w:ascii="Arial" w:hAnsi="Arial" w:cs="Arial"/>
                <w:sz w:val="18"/>
                <w:szCs w:val="18"/>
              </w:rPr>
              <w:t xml:space="preserve"> underwent expansion and relocation that caused changes in workflow.</w:t>
            </w:r>
          </w:p>
        </w:tc>
        <w:tc>
          <w:tcPr>
            <w:tcW w:w="1620" w:type="dxa"/>
          </w:tcPr>
          <w:p w14:paraId="6E6D82CC"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Uncontrolled before and after study using a prospective, observational design</w:t>
            </w:r>
            <w:r>
              <w:rPr>
                <w:rFonts w:ascii="Arial" w:hAnsi="Arial" w:cs="Arial"/>
                <w:sz w:val="18"/>
                <w:szCs w:val="18"/>
              </w:rPr>
              <w:t>.</w:t>
            </w:r>
          </w:p>
          <w:p w14:paraId="7A3FC2DE"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 xml:space="preserve">Compared proportion of discrepancies </w:t>
            </w:r>
            <w:r>
              <w:rPr>
                <w:rFonts w:ascii="Arial" w:hAnsi="Arial" w:cs="Arial"/>
                <w:sz w:val="18"/>
                <w:szCs w:val="18"/>
              </w:rPr>
              <w:t>with results of</w:t>
            </w:r>
            <w:r w:rsidRPr="00F75B37">
              <w:rPr>
                <w:rFonts w:ascii="Arial" w:hAnsi="Arial" w:cs="Arial"/>
                <w:sz w:val="18"/>
                <w:szCs w:val="18"/>
              </w:rPr>
              <w:t xml:space="preserve"> a study conducted by the authors in 2007</w:t>
            </w:r>
            <w:r>
              <w:rPr>
                <w:rFonts w:ascii="Arial" w:hAnsi="Arial" w:cs="Arial"/>
                <w:sz w:val="18"/>
                <w:szCs w:val="18"/>
              </w:rPr>
              <w:t>.</w:t>
            </w:r>
          </w:p>
        </w:tc>
        <w:tc>
          <w:tcPr>
            <w:tcW w:w="1170" w:type="dxa"/>
            <w:noWrap/>
          </w:tcPr>
          <w:p w14:paraId="7B23BB1A"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Children</w:t>
            </w:r>
            <w:r>
              <w:rPr>
                <w:rFonts w:ascii="Arial" w:hAnsi="Arial" w:cs="Arial"/>
                <w:sz w:val="18"/>
                <w:szCs w:val="18"/>
              </w:rPr>
              <w:t>’</w:t>
            </w:r>
            <w:r w:rsidRPr="00F75B37">
              <w:rPr>
                <w:rFonts w:ascii="Arial" w:hAnsi="Arial" w:cs="Arial"/>
                <w:sz w:val="18"/>
                <w:szCs w:val="18"/>
              </w:rPr>
              <w:t>s hospital, PICU (72 bed</w:t>
            </w:r>
            <w:r>
              <w:rPr>
                <w:rFonts w:ascii="Arial" w:hAnsi="Arial" w:cs="Arial"/>
                <w:sz w:val="18"/>
                <w:szCs w:val="18"/>
              </w:rPr>
              <w:t>s</w:t>
            </w:r>
            <w:r w:rsidRPr="00F75B37">
              <w:rPr>
                <w:rFonts w:ascii="Arial" w:hAnsi="Arial" w:cs="Arial"/>
                <w:sz w:val="18"/>
                <w:szCs w:val="18"/>
              </w:rPr>
              <w:t xml:space="preserve">), </w:t>
            </w:r>
            <w:r>
              <w:rPr>
                <w:rFonts w:ascii="Arial" w:hAnsi="Arial" w:cs="Arial"/>
                <w:sz w:val="18"/>
                <w:szCs w:val="18"/>
              </w:rPr>
              <w:t>United States</w:t>
            </w:r>
          </w:p>
        </w:tc>
        <w:tc>
          <w:tcPr>
            <w:tcW w:w="1800" w:type="dxa"/>
            <w:noWrap/>
          </w:tcPr>
          <w:p w14:paraId="24CDC969"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Overall discrepancy rate did not change</w:t>
            </w:r>
            <w:r>
              <w:rPr>
                <w:rFonts w:ascii="Arial" w:hAnsi="Arial" w:cs="Arial"/>
                <w:sz w:val="18"/>
                <w:szCs w:val="18"/>
              </w:rPr>
              <w:t>;</w:t>
            </w:r>
            <w:r w:rsidRPr="00F75B37">
              <w:rPr>
                <w:rFonts w:ascii="Arial" w:hAnsi="Arial" w:cs="Arial"/>
                <w:sz w:val="18"/>
                <w:szCs w:val="18"/>
              </w:rPr>
              <w:t xml:space="preserve"> however</w:t>
            </w:r>
            <w:r>
              <w:rPr>
                <w:rFonts w:ascii="Arial" w:hAnsi="Arial" w:cs="Arial"/>
                <w:sz w:val="18"/>
                <w:szCs w:val="18"/>
              </w:rPr>
              <w:t>,</w:t>
            </w:r>
            <w:r w:rsidRPr="00F75B37">
              <w:rPr>
                <w:rFonts w:ascii="Arial" w:hAnsi="Arial" w:cs="Arial"/>
                <w:sz w:val="18"/>
                <w:szCs w:val="18"/>
              </w:rPr>
              <w:t xml:space="preserve"> type of discrepancy changed. Unauthorized medications decreased from 60% in 2007 to 4% in 2010.</w:t>
            </w:r>
          </w:p>
          <w:p w14:paraId="05B48974"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Bidirectional interface allowed pharmacist to immediately reconcile verbal orders.</w:t>
            </w:r>
          </w:p>
          <w:p w14:paraId="7A09E57A"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Change in workflow on rounds was likely responsible for decrease in discrepancies for parenteral nutrition subgroup medications. In the new environment</w:t>
            </w:r>
            <w:r>
              <w:rPr>
                <w:rFonts w:ascii="Arial" w:hAnsi="Arial" w:cs="Arial"/>
                <w:sz w:val="18"/>
                <w:szCs w:val="18"/>
              </w:rPr>
              <w:t>,</w:t>
            </w:r>
            <w:r w:rsidRPr="00F75B37">
              <w:rPr>
                <w:rFonts w:ascii="Arial" w:hAnsi="Arial" w:cs="Arial"/>
                <w:sz w:val="18"/>
                <w:szCs w:val="18"/>
              </w:rPr>
              <w:t xml:space="preserve"> pharmacy and dietary presence on rounds increased, resulting in greater collaboration among pharmacists, dieticians, and the providers responsible for ordering, preventing the number of reorders that previously had occurred.</w:t>
            </w:r>
          </w:p>
        </w:tc>
        <w:tc>
          <w:tcPr>
            <w:tcW w:w="1800" w:type="dxa"/>
            <w:noWrap/>
          </w:tcPr>
          <w:p w14:paraId="68B57E51" w14:textId="77777777" w:rsidR="00B344BC" w:rsidRPr="00F75B37" w:rsidRDefault="00B344BC" w:rsidP="008A7983">
            <w:pPr>
              <w:spacing w:after="0"/>
              <w:rPr>
                <w:rFonts w:ascii="Arial" w:hAnsi="Arial" w:cs="Arial"/>
                <w:sz w:val="18"/>
                <w:szCs w:val="18"/>
              </w:rPr>
            </w:pPr>
            <w:r>
              <w:rPr>
                <w:rFonts w:ascii="Arial" w:hAnsi="Arial" w:cs="Arial"/>
                <w:sz w:val="18"/>
                <w:szCs w:val="18"/>
              </w:rPr>
              <w:t>Fifty-four</w:t>
            </w:r>
            <w:r w:rsidRPr="00F75B37">
              <w:rPr>
                <w:rFonts w:ascii="Arial" w:hAnsi="Arial" w:cs="Arial"/>
                <w:sz w:val="18"/>
                <w:szCs w:val="18"/>
              </w:rPr>
              <w:t xml:space="preserve"> of 303 (18%) observations of medication infusions revealed order programming discrepancies, while 46 of the 152 (30%) observations of IVF revealed order-infusion pump discrepancies.</w:t>
            </w:r>
          </w:p>
          <w:p w14:paraId="15BBD327"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There was significant increase in proportion of omitted medications and wrong dose. Change in workflow was suspected to be the reason for the increase.</w:t>
            </w:r>
          </w:p>
        </w:tc>
        <w:tc>
          <w:tcPr>
            <w:tcW w:w="2250" w:type="dxa"/>
          </w:tcPr>
          <w:p w14:paraId="61A03DF5"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Analysis suggests that the observed decreases in discrepancies were not solely attributable to the technology. Workflow and other factors had an impact on the observed changes.</w:t>
            </w:r>
          </w:p>
        </w:tc>
        <w:tc>
          <w:tcPr>
            <w:tcW w:w="1075" w:type="dxa"/>
          </w:tcPr>
          <w:p w14:paraId="5B75C215"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Moderate</w:t>
            </w:r>
          </w:p>
        </w:tc>
      </w:tr>
      <w:tr w:rsidR="00B344BC" w:rsidRPr="00F75B37" w14:paraId="13F14BD7" w14:textId="77777777" w:rsidTr="008A7983">
        <w:trPr>
          <w:cantSplit/>
        </w:trPr>
        <w:tc>
          <w:tcPr>
            <w:tcW w:w="1075" w:type="dxa"/>
            <w:noWrap/>
          </w:tcPr>
          <w:p w14:paraId="51E16F71" w14:textId="77777777" w:rsidR="00B344BC" w:rsidRPr="00372773" w:rsidRDefault="00B344BC" w:rsidP="008A7983">
            <w:pPr>
              <w:spacing w:after="0"/>
              <w:rPr>
                <w:rFonts w:ascii="Arial" w:hAnsi="Arial" w:cs="Arial"/>
                <w:b/>
                <w:sz w:val="18"/>
                <w:szCs w:val="18"/>
                <w:vertAlign w:val="superscript"/>
              </w:rPr>
            </w:pPr>
            <w:proofErr w:type="spellStart"/>
            <w:r w:rsidRPr="00372773">
              <w:rPr>
                <w:rFonts w:ascii="Arial" w:hAnsi="Arial" w:cs="Arial"/>
                <w:b/>
                <w:sz w:val="18"/>
                <w:szCs w:val="18"/>
              </w:rPr>
              <w:lastRenderedPageBreak/>
              <w:t>Schnock</w:t>
            </w:r>
            <w:proofErr w:type="spellEnd"/>
            <w:r w:rsidRPr="00372773">
              <w:rPr>
                <w:rFonts w:ascii="Arial" w:hAnsi="Arial" w:cs="Arial"/>
                <w:b/>
                <w:sz w:val="18"/>
                <w:szCs w:val="18"/>
              </w:rPr>
              <w:t xml:space="preserve"> et al. 2017</w:t>
            </w:r>
            <w:r w:rsidRPr="00372773">
              <w:rPr>
                <w:rFonts w:ascii="Arial" w:hAnsi="Arial" w:cs="Arial"/>
                <w:b/>
                <w:sz w:val="18"/>
                <w:szCs w:val="18"/>
                <w:vertAlign w:val="superscript"/>
              </w:rPr>
              <w:t>6</w:t>
            </w:r>
          </w:p>
        </w:tc>
        <w:tc>
          <w:tcPr>
            <w:tcW w:w="2160" w:type="dxa"/>
          </w:tcPr>
          <w:p w14:paraId="507D131F"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Objective of the study was to investigate the frequency and types of IV medication errors associated with the use of smart pumps.</w:t>
            </w:r>
          </w:p>
          <w:p w14:paraId="69537AA1"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Measured policy violations to assess the IV medication administration process.</w:t>
            </w:r>
          </w:p>
        </w:tc>
        <w:tc>
          <w:tcPr>
            <w:tcW w:w="1620" w:type="dxa"/>
          </w:tcPr>
          <w:p w14:paraId="429461AF"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Prospective point prevalence approach to capture errors associated with smart pump administered medications</w:t>
            </w:r>
            <w:r>
              <w:rPr>
                <w:rFonts w:ascii="Arial" w:hAnsi="Arial" w:cs="Arial"/>
                <w:sz w:val="18"/>
                <w:szCs w:val="18"/>
              </w:rPr>
              <w:t>.</w:t>
            </w:r>
          </w:p>
          <w:p w14:paraId="51743F54" w14:textId="77777777" w:rsidR="00B344BC" w:rsidRPr="00F75B37" w:rsidRDefault="00B344BC" w:rsidP="008A7983">
            <w:pPr>
              <w:spacing w:after="0"/>
              <w:rPr>
                <w:rFonts w:ascii="Arial" w:hAnsi="Arial" w:cs="Arial"/>
                <w:sz w:val="18"/>
                <w:szCs w:val="18"/>
              </w:rPr>
            </w:pPr>
            <w:r>
              <w:rPr>
                <w:rFonts w:ascii="Arial" w:hAnsi="Arial" w:cs="Arial"/>
                <w:sz w:val="18"/>
                <w:szCs w:val="18"/>
              </w:rPr>
              <w:t>Evaluated 478 </w:t>
            </w:r>
            <w:r w:rsidRPr="00F75B37">
              <w:rPr>
                <w:rFonts w:ascii="Arial" w:hAnsi="Arial" w:cs="Arial"/>
                <w:sz w:val="18"/>
                <w:szCs w:val="18"/>
              </w:rPr>
              <w:t>patients receiving and/or prescribed IV medications</w:t>
            </w:r>
            <w:r>
              <w:rPr>
                <w:rFonts w:ascii="Arial" w:hAnsi="Arial" w:cs="Arial"/>
                <w:sz w:val="18"/>
                <w:szCs w:val="18"/>
              </w:rPr>
              <w:t>.</w:t>
            </w:r>
          </w:p>
        </w:tc>
        <w:tc>
          <w:tcPr>
            <w:tcW w:w="1170" w:type="dxa"/>
            <w:noWrap/>
          </w:tcPr>
          <w:p w14:paraId="73AE61AA" w14:textId="77777777" w:rsidR="00B344BC" w:rsidRPr="00F75B37" w:rsidRDefault="00B344BC" w:rsidP="008A7983">
            <w:pPr>
              <w:pStyle w:val="Default"/>
              <w:rPr>
                <w:rFonts w:ascii="Arial" w:hAnsi="Arial" w:cs="Arial"/>
                <w:sz w:val="18"/>
                <w:szCs w:val="18"/>
              </w:rPr>
            </w:pPr>
            <w:r>
              <w:rPr>
                <w:rFonts w:ascii="Arial" w:hAnsi="Arial" w:cs="Arial"/>
                <w:sz w:val="18"/>
                <w:szCs w:val="18"/>
              </w:rPr>
              <w:t>Ten</w:t>
            </w:r>
            <w:r w:rsidRPr="00F75B37">
              <w:rPr>
                <w:rFonts w:ascii="Arial" w:hAnsi="Arial" w:cs="Arial"/>
                <w:sz w:val="18"/>
                <w:szCs w:val="18"/>
              </w:rPr>
              <w:t xml:space="preserve"> hospitals: seven academic medical centers and three community hospitals</w:t>
            </w:r>
            <w:r>
              <w:rPr>
                <w:rFonts w:ascii="Arial" w:hAnsi="Arial" w:cs="Arial"/>
                <w:sz w:val="18"/>
                <w:szCs w:val="18"/>
              </w:rPr>
              <w:t>,</w:t>
            </w:r>
            <w:r w:rsidRPr="00F75B37">
              <w:rPr>
                <w:rFonts w:ascii="Arial" w:hAnsi="Arial" w:cs="Arial"/>
                <w:sz w:val="18"/>
                <w:szCs w:val="18"/>
              </w:rPr>
              <w:t xml:space="preserve"> </w:t>
            </w:r>
            <w:r>
              <w:rPr>
                <w:rFonts w:ascii="Arial" w:hAnsi="Arial" w:cs="Arial"/>
                <w:sz w:val="18"/>
                <w:szCs w:val="18"/>
              </w:rPr>
              <w:t>United States</w:t>
            </w:r>
          </w:p>
        </w:tc>
        <w:tc>
          <w:tcPr>
            <w:tcW w:w="1800" w:type="dxa"/>
            <w:noWrap/>
          </w:tcPr>
          <w:p w14:paraId="03E5A308" w14:textId="77777777" w:rsidR="00B344BC" w:rsidRPr="00F75B37" w:rsidRDefault="00B344BC" w:rsidP="008A7983">
            <w:pPr>
              <w:spacing w:after="0"/>
              <w:rPr>
                <w:rFonts w:ascii="Arial" w:hAnsi="Arial" w:cs="Arial"/>
                <w:sz w:val="18"/>
                <w:szCs w:val="18"/>
              </w:rPr>
            </w:pPr>
          </w:p>
        </w:tc>
        <w:tc>
          <w:tcPr>
            <w:tcW w:w="1800" w:type="dxa"/>
            <w:noWrap/>
          </w:tcPr>
          <w:p w14:paraId="1BAC2F84"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Violations of IV labeling and tubing change policies were the most frequent error types (60</w:t>
            </w:r>
            <w:r>
              <w:rPr>
                <w:rFonts w:ascii="Arial" w:hAnsi="Arial" w:cs="Arial"/>
                <w:sz w:val="18"/>
                <w:szCs w:val="18"/>
              </w:rPr>
              <w:t>%</w:t>
            </w:r>
            <w:r w:rsidRPr="00F75B37">
              <w:rPr>
                <w:rFonts w:ascii="Arial" w:hAnsi="Arial" w:cs="Arial"/>
                <w:sz w:val="18"/>
                <w:szCs w:val="18"/>
              </w:rPr>
              <w:t xml:space="preserve"> and 35%</w:t>
            </w:r>
            <w:r>
              <w:rPr>
                <w:rFonts w:ascii="Arial" w:hAnsi="Arial" w:cs="Arial"/>
                <w:sz w:val="18"/>
                <w:szCs w:val="18"/>
              </w:rPr>
              <w:t>,</w:t>
            </w:r>
            <w:r w:rsidRPr="00F75B37">
              <w:rPr>
                <w:rFonts w:ascii="Arial" w:hAnsi="Arial" w:cs="Arial"/>
                <w:sz w:val="18"/>
                <w:szCs w:val="18"/>
              </w:rPr>
              <w:t xml:space="preserve"> respectively).</w:t>
            </w:r>
          </w:p>
          <w:p w14:paraId="37A7AAFA"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Infusion rate errors were the leading type of serious medication error.</w:t>
            </w:r>
          </w:p>
        </w:tc>
        <w:tc>
          <w:tcPr>
            <w:tcW w:w="2250" w:type="dxa"/>
          </w:tcPr>
          <w:p w14:paraId="3657125C"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High rate of errors was found in the administration of IV medications despite the use of smart pumps, but relatively few were harmful errors.</w:t>
            </w:r>
          </w:p>
          <w:p w14:paraId="45682F95"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In reviewing labeling policy, researchers found that some information needed prior to implementation of electronic records is no longer necessary.</w:t>
            </w:r>
          </w:p>
          <w:p w14:paraId="48F65101"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Team recognized the benefits of using standardized tubing labels to distinguish when nurse should change tubing.</w:t>
            </w:r>
          </w:p>
          <w:p w14:paraId="2C8E6017"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Results highlight the importance of reviewing existing practices and policies when implementing technologies such as smart pumps.</w:t>
            </w:r>
          </w:p>
        </w:tc>
        <w:tc>
          <w:tcPr>
            <w:tcW w:w="1075" w:type="dxa"/>
          </w:tcPr>
          <w:p w14:paraId="6D092C31"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Moderate</w:t>
            </w:r>
          </w:p>
        </w:tc>
      </w:tr>
      <w:tr w:rsidR="00B344BC" w:rsidRPr="00F75B37" w14:paraId="0D37C9B0" w14:textId="77777777" w:rsidTr="008A7983">
        <w:trPr>
          <w:cantSplit/>
        </w:trPr>
        <w:tc>
          <w:tcPr>
            <w:tcW w:w="1075" w:type="dxa"/>
            <w:noWrap/>
          </w:tcPr>
          <w:p w14:paraId="2AF72A48" w14:textId="77777777" w:rsidR="00B344BC" w:rsidRPr="00372773" w:rsidRDefault="00B344BC" w:rsidP="008A7983">
            <w:pPr>
              <w:spacing w:after="0"/>
              <w:rPr>
                <w:rFonts w:ascii="Arial" w:hAnsi="Arial" w:cs="Arial"/>
                <w:b/>
                <w:sz w:val="18"/>
                <w:szCs w:val="18"/>
                <w:vertAlign w:val="superscript"/>
              </w:rPr>
            </w:pPr>
            <w:r w:rsidRPr="00372773">
              <w:rPr>
                <w:rFonts w:ascii="Arial" w:hAnsi="Arial" w:cs="Arial"/>
                <w:b/>
                <w:sz w:val="18"/>
                <w:szCs w:val="18"/>
              </w:rPr>
              <w:t>Wiseman et al., 2018</w:t>
            </w:r>
            <w:r w:rsidRPr="00372773">
              <w:rPr>
                <w:rFonts w:ascii="Arial" w:hAnsi="Arial" w:cs="Arial"/>
                <w:b/>
                <w:sz w:val="18"/>
                <w:szCs w:val="18"/>
                <w:vertAlign w:val="superscript"/>
              </w:rPr>
              <w:t>5</w:t>
            </w:r>
          </w:p>
        </w:tc>
        <w:tc>
          <w:tcPr>
            <w:tcW w:w="2160" w:type="dxa"/>
          </w:tcPr>
          <w:p w14:paraId="671DE851"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Implemented clinical pharmacist annotation on medication charts (</w:t>
            </w:r>
            <w:r>
              <w:rPr>
                <w:rFonts w:ascii="Arial" w:hAnsi="Arial" w:cs="Arial"/>
                <w:sz w:val="18"/>
                <w:szCs w:val="18"/>
              </w:rPr>
              <w:t>i</w:t>
            </w:r>
            <w:r w:rsidRPr="00F75B37">
              <w:rPr>
                <w:rFonts w:ascii="Arial" w:hAnsi="Arial" w:cs="Arial"/>
                <w:sz w:val="18"/>
                <w:szCs w:val="18"/>
              </w:rPr>
              <w:t>.e.,</w:t>
            </w:r>
            <w:r>
              <w:rPr>
                <w:rFonts w:ascii="Arial" w:hAnsi="Arial" w:cs="Arial"/>
                <w:sz w:val="18"/>
                <w:szCs w:val="18"/>
              </w:rPr>
              <w:t> </w:t>
            </w:r>
            <w:r w:rsidRPr="00F75B37">
              <w:rPr>
                <w:rFonts w:ascii="Arial" w:hAnsi="Arial" w:cs="Arial"/>
                <w:sz w:val="18"/>
                <w:szCs w:val="18"/>
              </w:rPr>
              <w:t>completing missing information in infusion medication orders) and adopted smart pump technology.</w:t>
            </w:r>
          </w:p>
          <w:p w14:paraId="0166554E"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Smart pump adoption involved a 6</w:t>
            </w:r>
            <w:r>
              <w:rPr>
                <w:rFonts w:ascii="Arial" w:hAnsi="Arial" w:cs="Arial"/>
                <w:sz w:val="18"/>
                <w:szCs w:val="18"/>
              </w:rPr>
              <w:t>-</w:t>
            </w:r>
            <w:r w:rsidRPr="00F75B37">
              <w:rPr>
                <w:rFonts w:ascii="Arial" w:hAnsi="Arial" w:cs="Arial"/>
                <w:sz w:val="18"/>
                <w:szCs w:val="18"/>
              </w:rPr>
              <w:t>month development phase</w:t>
            </w:r>
            <w:r>
              <w:rPr>
                <w:rFonts w:ascii="Arial" w:hAnsi="Arial" w:cs="Arial"/>
                <w:sz w:val="18"/>
                <w:szCs w:val="18"/>
              </w:rPr>
              <w:t>.</w:t>
            </w:r>
          </w:p>
        </w:tc>
        <w:tc>
          <w:tcPr>
            <w:tcW w:w="1620" w:type="dxa"/>
          </w:tcPr>
          <w:p w14:paraId="4DE337B3"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Semi-structured observational study</w:t>
            </w:r>
            <w:r>
              <w:rPr>
                <w:rFonts w:ascii="Arial" w:hAnsi="Arial" w:cs="Arial"/>
                <w:sz w:val="18"/>
                <w:szCs w:val="18"/>
              </w:rPr>
              <w:t xml:space="preserve"> c</w:t>
            </w:r>
            <w:r w:rsidRPr="00F75B37">
              <w:rPr>
                <w:rFonts w:ascii="Arial" w:hAnsi="Arial" w:cs="Arial"/>
                <w:sz w:val="18"/>
                <w:szCs w:val="18"/>
              </w:rPr>
              <w:t>onducted over four periods, pre and post intervention: July 2009, July 2011, April 20</w:t>
            </w:r>
            <w:r>
              <w:rPr>
                <w:rFonts w:ascii="Arial" w:hAnsi="Arial" w:cs="Arial"/>
                <w:sz w:val="18"/>
                <w:szCs w:val="18"/>
              </w:rPr>
              <w:t>1</w:t>
            </w:r>
            <w:r w:rsidRPr="00F75B37">
              <w:rPr>
                <w:rFonts w:ascii="Arial" w:hAnsi="Arial" w:cs="Arial"/>
                <w:sz w:val="18"/>
                <w:szCs w:val="18"/>
              </w:rPr>
              <w:t>2, and June 2014</w:t>
            </w:r>
            <w:r>
              <w:rPr>
                <w:rFonts w:ascii="Arial" w:hAnsi="Arial" w:cs="Arial"/>
                <w:sz w:val="18"/>
                <w:szCs w:val="18"/>
              </w:rPr>
              <w:t>.</w:t>
            </w:r>
          </w:p>
          <w:p w14:paraId="20DCA7DF"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 xml:space="preserve">Over </w:t>
            </w:r>
            <w:r>
              <w:rPr>
                <w:rFonts w:ascii="Arial" w:hAnsi="Arial" w:cs="Arial"/>
                <w:sz w:val="18"/>
                <w:szCs w:val="18"/>
              </w:rPr>
              <w:t>5</w:t>
            </w:r>
            <w:r w:rsidRPr="00F75B37">
              <w:rPr>
                <w:rFonts w:ascii="Arial" w:hAnsi="Arial" w:cs="Arial"/>
                <w:sz w:val="18"/>
                <w:szCs w:val="18"/>
              </w:rPr>
              <w:t xml:space="preserve"> years, 16,866 patients and 2</w:t>
            </w:r>
            <w:r>
              <w:rPr>
                <w:rFonts w:ascii="Arial" w:hAnsi="Arial" w:cs="Arial"/>
                <w:sz w:val="18"/>
                <w:szCs w:val="18"/>
              </w:rPr>
              <w:t>,</w:t>
            </w:r>
            <w:r w:rsidRPr="00F75B37">
              <w:rPr>
                <w:rFonts w:ascii="Arial" w:hAnsi="Arial" w:cs="Arial"/>
                <w:sz w:val="18"/>
                <w:szCs w:val="18"/>
              </w:rPr>
              <w:t>599 infusions were observed.</w:t>
            </w:r>
          </w:p>
        </w:tc>
        <w:tc>
          <w:tcPr>
            <w:tcW w:w="1170" w:type="dxa"/>
            <w:noWrap/>
          </w:tcPr>
          <w:p w14:paraId="4C20CCC9" w14:textId="77777777" w:rsidR="00B344BC" w:rsidRPr="00F75B37" w:rsidRDefault="00B344BC" w:rsidP="008A7983">
            <w:pPr>
              <w:pStyle w:val="Default"/>
              <w:rPr>
                <w:rFonts w:ascii="Arial" w:hAnsi="Arial" w:cs="Arial"/>
                <w:sz w:val="18"/>
                <w:szCs w:val="18"/>
              </w:rPr>
            </w:pPr>
            <w:r>
              <w:rPr>
                <w:rFonts w:ascii="Arial" w:hAnsi="Arial" w:cs="Arial"/>
                <w:sz w:val="18"/>
                <w:szCs w:val="18"/>
              </w:rPr>
              <w:t xml:space="preserve">Four hundred fifty </w:t>
            </w:r>
            <w:r w:rsidRPr="00F75B37">
              <w:rPr>
                <w:rFonts w:ascii="Arial" w:hAnsi="Arial" w:cs="Arial"/>
                <w:sz w:val="18"/>
                <w:szCs w:val="18"/>
              </w:rPr>
              <w:t>bed tertiary referral hospital, Australia</w:t>
            </w:r>
            <w:r>
              <w:rPr>
                <w:rFonts w:ascii="Arial" w:hAnsi="Arial" w:cs="Arial"/>
                <w:sz w:val="18"/>
                <w:szCs w:val="18"/>
              </w:rPr>
              <w:t>.</w:t>
            </w:r>
          </w:p>
        </w:tc>
        <w:tc>
          <w:tcPr>
            <w:tcW w:w="1800" w:type="dxa"/>
            <w:noWrap/>
          </w:tcPr>
          <w:p w14:paraId="215D0C65"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After implementing pharmacist annotation, errors reduced from 16.6 to 8.1%. Implementation of smart pumps resulted in a reduction from 8.1 to 3.9%.</w:t>
            </w:r>
          </w:p>
        </w:tc>
        <w:tc>
          <w:tcPr>
            <w:tcW w:w="1800" w:type="dxa"/>
            <w:noWrap/>
          </w:tcPr>
          <w:p w14:paraId="09B13C36" w14:textId="77777777" w:rsidR="00B344BC" w:rsidRPr="00F75B37" w:rsidRDefault="00B344BC" w:rsidP="008A7983">
            <w:pPr>
              <w:spacing w:after="0"/>
              <w:rPr>
                <w:rFonts w:ascii="Arial" w:hAnsi="Arial" w:cs="Arial"/>
                <w:sz w:val="18"/>
                <w:szCs w:val="18"/>
              </w:rPr>
            </w:pPr>
            <w:r>
              <w:rPr>
                <w:rFonts w:ascii="Arial" w:hAnsi="Arial" w:cs="Arial"/>
                <w:sz w:val="18"/>
                <w:szCs w:val="18"/>
              </w:rPr>
              <w:t>Not provided</w:t>
            </w:r>
          </w:p>
        </w:tc>
        <w:tc>
          <w:tcPr>
            <w:tcW w:w="2250" w:type="dxa"/>
          </w:tcPr>
          <w:p w14:paraId="6F5F9BF6" w14:textId="77777777" w:rsidR="00B344BC" w:rsidRPr="00F75B37" w:rsidRDefault="00B344BC" w:rsidP="008A7983">
            <w:pPr>
              <w:pStyle w:val="Default"/>
              <w:rPr>
                <w:rFonts w:ascii="Arial" w:hAnsi="Arial" w:cs="Arial"/>
                <w:sz w:val="18"/>
                <w:szCs w:val="18"/>
              </w:rPr>
            </w:pPr>
            <w:r w:rsidRPr="00F75B37">
              <w:rPr>
                <w:rFonts w:ascii="Arial" w:hAnsi="Arial" w:cs="Arial"/>
                <w:sz w:val="18"/>
                <w:szCs w:val="18"/>
              </w:rPr>
              <w:t>Results suggest clinical pharmacists play a key role in reducing rate of errors.</w:t>
            </w:r>
          </w:p>
        </w:tc>
        <w:tc>
          <w:tcPr>
            <w:tcW w:w="1075" w:type="dxa"/>
          </w:tcPr>
          <w:p w14:paraId="41EF1CFC" w14:textId="77777777" w:rsidR="00B344BC" w:rsidRPr="00F75B37" w:rsidRDefault="00B344BC" w:rsidP="008A7983">
            <w:pPr>
              <w:spacing w:after="0"/>
              <w:rPr>
                <w:rFonts w:ascii="Arial" w:hAnsi="Arial" w:cs="Arial"/>
                <w:sz w:val="18"/>
                <w:szCs w:val="18"/>
              </w:rPr>
            </w:pPr>
            <w:r w:rsidRPr="00F75B37">
              <w:rPr>
                <w:rFonts w:ascii="Arial" w:hAnsi="Arial" w:cs="Arial"/>
                <w:sz w:val="18"/>
                <w:szCs w:val="18"/>
              </w:rPr>
              <w:t>Moderate</w:t>
            </w:r>
          </w:p>
        </w:tc>
      </w:tr>
    </w:tbl>
    <w:p w14:paraId="5F95825B" w14:textId="08DC7427" w:rsidR="0036180D" w:rsidRDefault="0036180D" w:rsidP="00DB6530">
      <w:pPr>
        <w:spacing w:after="0"/>
      </w:pPr>
    </w:p>
    <w:sectPr w:rsidR="0036180D" w:rsidSect="007278EB">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453"/>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A412E" w14:textId="77777777" w:rsidR="00D94434" w:rsidRDefault="00D94434" w:rsidP="00DC17F5">
      <w:r>
        <w:separator/>
      </w:r>
    </w:p>
  </w:endnote>
  <w:endnote w:type="continuationSeparator" w:id="0">
    <w:p w14:paraId="2CF46131" w14:textId="77777777" w:rsidR="00D94434" w:rsidRDefault="00D94434"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4D70AB48"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7278EB">
      <w:rPr>
        <w:noProof/>
      </w:rPr>
      <w:t>459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CE88B" w14:textId="77777777" w:rsidR="00D94434" w:rsidRDefault="00D94434" w:rsidP="00986558">
      <w:pPr>
        <w:spacing w:after="0"/>
      </w:pPr>
      <w:r>
        <w:separator/>
      </w:r>
    </w:p>
  </w:footnote>
  <w:footnote w:type="continuationSeparator" w:id="0">
    <w:p w14:paraId="4AD10DAF" w14:textId="77777777" w:rsidR="00D94434" w:rsidRDefault="00D94434"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2EF1"/>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2C11"/>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278EB"/>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57D0"/>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27B50"/>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E5DCE"/>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4434"/>
    <w:rsid w:val="00D95829"/>
    <w:rsid w:val="00D95ADC"/>
    <w:rsid w:val="00D96598"/>
    <w:rsid w:val="00D979EA"/>
    <w:rsid w:val="00DA02B9"/>
    <w:rsid w:val="00DA42EA"/>
    <w:rsid w:val="00DA7A1C"/>
    <w:rsid w:val="00DA7FEA"/>
    <w:rsid w:val="00DB269B"/>
    <w:rsid w:val="00DB2C8A"/>
    <w:rsid w:val="00DB3BA2"/>
    <w:rsid w:val="00DB6530"/>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18A"/>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2607"/>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AFAAA-BA7F-451C-A355-42089CC4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297</TotalTime>
  <Pages>7</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11169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43</cp:revision>
  <cp:lastPrinted>2020-03-05T17:00:00Z</cp:lastPrinted>
  <dcterms:created xsi:type="dcterms:W3CDTF">2020-03-05T16:52:00Z</dcterms:created>
  <dcterms:modified xsi:type="dcterms:W3CDTF">2020-03-14T10:45:00Z</dcterms:modified>
  <cp:category>Templates</cp:category>
</cp:coreProperties>
</file>