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73629" w14:textId="3AD04941" w:rsidR="00BE4641" w:rsidRDefault="00BE4641" w:rsidP="00BE4641">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2</w:t>
      </w:r>
      <w:r w:rsidR="008A7983">
        <w:rPr>
          <w:noProof/>
        </w:rPr>
        <w:fldChar w:fldCharType="end"/>
      </w:r>
      <w:r>
        <w:t>: Diagnostic Errors, Clinical Decision Support—S</w:t>
      </w:r>
      <w:r w:rsidRPr="00214E76">
        <w:t>ystematic Reviews and Meta-Analyses</w:t>
      </w:r>
    </w:p>
    <w:p w14:paraId="5D7566C9" w14:textId="4E1C4823" w:rsidR="00BE4641" w:rsidRPr="00F33FB6" w:rsidRDefault="00BE4641" w:rsidP="00BE4641">
      <w:pPr>
        <w:pStyle w:val="BodyText"/>
        <w:rPr>
          <w:lang w:val="en-US"/>
        </w:rPr>
      </w:pPr>
      <w:r>
        <w:rPr>
          <w:lang w:val="en-US"/>
        </w:rPr>
        <w:t xml:space="preserve">Note: Full references are available in the </w:t>
      </w:r>
      <w:hyperlink w:anchor="Section1point1refs" w:history="1">
        <w:r w:rsidRPr="008B77AD">
          <w:rPr>
            <w:rStyle w:val="Hyperlink"/>
            <w:lang w:val="en-US"/>
          </w:rPr>
          <w:t>Section 1.1 reference list</w:t>
        </w:r>
      </w:hyperlink>
      <w:r>
        <w:rPr>
          <w:lang w:val="en-US"/>
        </w:rPr>
        <w:t>.</w:t>
      </w:r>
    </w:p>
    <w:tbl>
      <w:tblPr>
        <w:tblStyle w:val="TableGrid1"/>
        <w:tblW w:w="5000" w:type="pct"/>
        <w:tblInd w:w="0" w:type="dxa"/>
        <w:tblLayout w:type="fixed"/>
        <w:tblCellMar>
          <w:left w:w="43" w:type="dxa"/>
          <w:right w:w="43" w:type="dxa"/>
        </w:tblCellMar>
        <w:tblLook w:val="00A0" w:firstRow="1" w:lastRow="0" w:firstColumn="1" w:lastColumn="0" w:noHBand="0" w:noVBand="0"/>
      </w:tblPr>
      <w:tblGrid>
        <w:gridCol w:w="1267"/>
        <w:gridCol w:w="2546"/>
        <w:gridCol w:w="2864"/>
        <w:gridCol w:w="5092"/>
        <w:gridCol w:w="1277"/>
      </w:tblGrid>
      <w:tr w:rsidR="00BE4641" w:rsidRPr="009F7350" w14:paraId="75B66FE5" w14:textId="77777777" w:rsidTr="00C551F9">
        <w:trPr>
          <w:cantSplit/>
          <w:tblHeader/>
        </w:trPr>
        <w:tc>
          <w:tcPr>
            <w:tcW w:w="1075" w:type="dxa"/>
            <w:noWrap/>
            <w:vAlign w:val="center"/>
            <w:hideMark/>
          </w:tcPr>
          <w:p w14:paraId="7BF50714"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Author, Year</w:t>
            </w:r>
          </w:p>
        </w:tc>
        <w:tc>
          <w:tcPr>
            <w:tcW w:w="2160" w:type="dxa"/>
            <w:vAlign w:val="center"/>
            <w:hideMark/>
          </w:tcPr>
          <w:p w14:paraId="021D9736"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Description of Patient Safety Practice</w:t>
            </w:r>
          </w:p>
        </w:tc>
        <w:tc>
          <w:tcPr>
            <w:tcW w:w="2430" w:type="dxa"/>
            <w:vAlign w:val="center"/>
            <w:hideMark/>
          </w:tcPr>
          <w:p w14:paraId="443E995B"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Settings and Population</w:t>
            </w:r>
          </w:p>
        </w:tc>
        <w:tc>
          <w:tcPr>
            <w:tcW w:w="4320" w:type="dxa"/>
            <w:noWrap/>
            <w:vAlign w:val="center"/>
            <w:hideMark/>
          </w:tcPr>
          <w:p w14:paraId="308E0E61"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Summary of Findings</w:t>
            </w:r>
          </w:p>
        </w:tc>
        <w:tc>
          <w:tcPr>
            <w:tcW w:w="1083" w:type="dxa"/>
            <w:noWrap/>
            <w:vAlign w:val="center"/>
            <w:hideMark/>
          </w:tcPr>
          <w:p w14:paraId="54CA734F"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Comments</w:t>
            </w:r>
          </w:p>
        </w:tc>
      </w:tr>
      <w:tr w:rsidR="00BE4641" w:rsidRPr="009F7350" w14:paraId="777E952B" w14:textId="77777777" w:rsidTr="00C551F9">
        <w:trPr>
          <w:cantSplit/>
        </w:trPr>
        <w:tc>
          <w:tcPr>
            <w:tcW w:w="1075" w:type="dxa"/>
            <w:hideMark/>
          </w:tcPr>
          <w:p w14:paraId="72EF87FE" w14:textId="77777777" w:rsidR="00BE4641" w:rsidRPr="00C551F9" w:rsidRDefault="00BE4641" w:rsidP="008A7983">
            <w:pPr>
              <w:spacing w:after="0"/>
              <w:rPr>
                <w:rFonts w:ascii="Arial" w:hAnsi="Arial" w:cs="Arial"/>
                <w:b/>
                <w:color w:val="000000"/>
                <w:sz w:val="18"/>
                <w:szCs w:val="18"/>
                <w:vertAlign w:val="superscript"/>
              </w:rPr>
            </w:pPr>
            <w:r w:rsidRPr="00C551F9">
              <w:rPr>
                <w:rFonts w:ascii="Arial" w:hAnsi="Arial" w:cs="Arial"/>
                <w:b/>
                <w:color w:val="000000"/>
                <w:sz w:val="18"/>
                <w:szCs w:val="18"/>
              </w:rPr>
              <w:t>el-</w:t>
            </w:r>
            <w:proofErr w:type="spellStart"/>
            <w:r w:rsidRPr="00C551F9">
              <w:rPr>
                <w:rFonts w:ascii="Arial" w:hAnsi="Arial" w:cs="Arial"/>
                <w:b/>
                <w:color w:val="000000"/>
                <w:sz w:val="18"/>
                <w:szCs w:val="18"/>
              </w:rPr>
              <w:t>Kareh</w:t>
            </w:r>
            <w:proofErr w:type="spellEnd"/>
            <w:r w:rsidRPr="00C551F9">
              <w:rPr>
                <w:rFonts w:ascii="Arial" w:hAnsi="Arial" w:cs="Arial"/>
                <w:b/>
                <w:color w:val="000000"/>
                <w:sz w:val="18"/>
                <w:szCs w:val="18"/>
              </w:rPr>
              <w:t xml:space="preserve"> et al., 2013</w:t>
            </w:r>
            <w:r w:rsidRPr="00C551F9">
              <w:rPr>
                <w:rFonts w:ascii="Arial" w:hAnsi="Arial" w:cs="Arial"/>
                <w:b/>
                <w:color w:val="000000"/>
                <w:sz w:val="18"/>
                <w:szCs w:val="18"/>
                <w:vertAlign w:val="superscript"/>
              </w:rPr>
              <w:t>1</w:t>
            </w:r>
          </w:p>
        </w:tc>
        <w:tc>
          <w:tcPr>
            <w:tcW w:w="2160" w:type="dxa"/>
            <w:hideMark/>
          </w:tcPr>
          <w:p w14:paraId="6A411960"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Diagnostic decision support systems and diagnosis-related health information technology (HIT)</w:t>
            </w:r>
          </w:p>
        </w:tc>
        <w:tc>
          <w:tcPr>
            <w:tcW w:w="2430" w:type="dxa"/>
            <w:hideMark/>
          </w:tcPr>
          <w:p w14:paraId="5E776CB0"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Systematic review of HIT to reduce diagnostic error. The search strategy did not include limitations for settings or populations.</w:t>
            </w:r>
          </w:p>
        </w:tc>
        <w:tc>
          <w:tcPr>
            <w:tcW w:w="4320" w:type="dxa"/>
            <w:hideMark/>
          </w:tcPr>
          <w:p w14:paraId="26917C99"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The use of HIT in diagnosis is still in its early stages. Many aspects of the diagnostic process have been targeted, but few tools and systems have been shown to improve diagnosis in actual clinical settings.</w:t>
            </w:r>
          </w:p>
        </w:tc>
        <w:tc>
          <w:tcPr>
            <w:tcW w:w="1083" w:type="dxa"/>
            <w:hideMark/>
          </w:tcPr>
          <w:p w14:paraId="3665B932"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Included in Riches, 2016, systematic review and meta-analysis</w:t>
            </w:r>
          </w:p>
        </w:tc>
      </w:tr>
      <w:tr w:rsidR="00BE4641" w:rsidRPr="009F7350" w14:paraId="25BB458D" w14:textId="77777777" w:rsidTr="00C551F9">
        <w:trPr>
          <w:cantSplit/>
        </w:trPr>
        <w:tc>
          <w:tcPr>
            <w:tcW w:w="1075" w:type="dxa"/>
            <w:hideMark/>
          </w:tcPr>
          <w:p w14:paraId="4E2D82F0" w14:textId="77777777" w:rsidR="00BE4641" w:rsidRPr="00C551F9" w:rsidRDefault="00BE4641" w:rsidP="008A7983">
            <w:pPr>
              <w:spacing w:after="0"/>
              <w:rPr>
                <w:rFonts w:ascii="Arial" w:hAnsi="Arial" w:cs="Arial"/>
                <w:b/>
                <w:color w:val="000000"/>
                <w:sz w:val="18"/>
                <w:szCs w:val="18"/>
                <w:vertAlign w:val="superscript"/>
              </w:rPr>
            </w:pPr>
            <w:r w:rsidRPr="00C551F9">
              <w:rPr>
                <w:rFonts w:ascii="Arial" w:hAnsi="Arial" w:cs="Arial"/>
                <w:b/>
                <w:color w:val="000000"/>
                <w:sz w:val="18"/>
                <w:szCs w:val="18"/>
              </w:rPr>
              <w:t>Graber et al., 2012</w:t>
            </w:r>
            <w:r w:rsidRPr="00C551F9">
              <w:rPr>
                <w:rFonts w:ascii="Arial" w:hAnsi="Arial" w:cs="Arial"/>
                <w:b/>
                <w:color w:val="000000"/>
                <w:sz w:val="18"/>
                <w:szCs w:val="18"/>
                <w:vertAlign w:val="superscript"/>
              </w:rPr>
              <w:t>7</w:t>
            </w:r>
          </w:p>
        </w:tc>
        <w:tc>
          <w:tcPr>
            <w:tcW w:w="2160" w:type="dxa"/>
            <w:hideMark/>
          </w:tcPr>
          <w:p w14:paraId="430515D1"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Interventions to prevent, reduce, or mitigate diagnostic errors, including CDS to support and improve cognition</w:t>
            </w:r>
          </w:p>
        </w:tc>
        <w:tc>
          <w:tcPr>
            <w:tcW w:w="2430" w:type="dxa"/>
            <w:hideMark/>
          </w:tcPr>
          <w:p w14:paraId="3522CA98"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Systematic review of cognitive interventions to reduce diagnostic error. The search strategy did not include limitations for settings or populations.</w:t>
            </w:r>
          </w:p>
        </w:tc>
        <w:tc>
          <w:tcPr>
            <w:tcW w:w="4320" w:type="dxa"/>
            <w:hideMark/>
          </w:tcPr>
          <w:p w14:paraId="12C2F0A1"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ISABEL has good sensitivity in both pediatric and adult settings, with sensitivity in the adult setting approaching 100%. Research on the use of Google searches yields the correct diagnosis in only 58% of difficult cases.</w:t>
            </w:r>
          </w:p>
        </w:tc>
        <w:tc>
          <w:tcPr>
            <w:tcW w:w="1083" w:type="dxa"/>
            <w:hideMark/>
          </w:tcPr>
          <w:p w14:paraId="5B9607EF" w14:textId="77777777" w:rsidR="00BE4641" w:rsidRPr="009F7350" w:rsidRDefault="00BE4641" w:rsidP="008A7983">
            <w:pPr>
              <w:spacing w:after="0"/>
              <w:rPr>
                <w:rFonts w:ascii="Arial" w:hAnsi="Arial" w:cs="Arial"/>
                <w:sz w:val="18"/>
                <w:szCs w:val="18"/>
              </w:rPr>
            </w:pPr>
            <w:r w:rsidRPr="009F7350">
              <w:rPr>
                <w:rFonts w:ascii="Arial" w:hAnsi="Arial" w:cs="Arial"/>
                <w:sz w:val="18"/>
                <w:szCs w:val="18"/>
              </w:rPr>
              <w:t>None</w:t>
            </w:r>
          </w:p>
        </w:tc>
      </w:tr>
      <w:tr w:rsidR="00BE4641" w:rsidRPr="009F7350" w14:paraId="3D368698" w14:textId="77777777" w:rsidTr="00C551F9">
        <w:trPr>
          <w:cantSplit/>
        </w:trPr>
        <w:tc>
          <w:tcPr>
            <w:tcW w:w="1075" w:type="dxa"/>
            <w:hideMark/>
          </w:tcPr>
          <w:p w14:paraId="1C67F104" w14:textId="77777777" w:rsidR="00BE4641" w:rsidRPr="00C551F9" w:rsidRDefault="00BE4641" w:rsidP="008A7983">
            <w:pPr>
              <w:spacing w:after="0"/>
              <w:rPr>
                <w:rFonts w:ascii="Arial" w:hAnsi="Arial" w:cs="Arial"/>
                <w:b/>
                <w:color w:val="000000"/>
                <w:sz w:val="18"/>
                <w:szCs w:val="18"/>
                <w:vertAlign w:val="superscript"/>
              </w:rPr>
            </w:pPr>
            <w:proofErr w:type="spellStart"/>
            <w:r w:rsidRPr="00C551F9">
              <w:rPr>
                <w:rFonts w:ascii="Arial" w:hAnsi="Arial" w:cs="Arial"/>
                <w:b/>
                <w:color w:val="000000"/>
                <w:sz w:val="18"/>
                <w:szCs w:val="18"/>
              </w:rPr>
              <w:t>Nurek</w:t>
            </w:r>
            <w:proofErr w:type="spellEnd"/>
            <w:r w:rsidRPr="00C551F9">
              <w:rPr>
                <w:rFonts w:ascii="Arial" w:hAnsi="Arial" w:cs="Arial"/>
                <w:b/>
                <w:color w:val="000000"/>
                <w:sz w:val="18"/>
                <w:szCs w:val="18"/>
              </w:rPr>
              <w:t xml:space="preserve"> et al., 2015</w:t>
            </w:r>
            <w:r w:rsidRPr="00C551F9">
              <w:rPr>
                <w:rFonts w:ascii="Arial" w:hAnsi="Arial" w:cs="Arial"/>
                <w:b/>
                <w:color w:val="000000"/>
                <w:sz w:val="18"/>
                <w:szCs w:val="18"/>
                <w:vertAlign w:val="superscript"/>
              </w:rPr>
              <w:t>40</w:t>
            </w:r>
          </w:p>
        </w:tc>
        <w:tc>
          <w:tcPr>
            <w:tcW w:w="2160" w:type="dxa"/>
            <w:hideMark/>
          </w:tcPr>
          <w:p w14:paraId="5A95E22B"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Computerized diagnostic decision support systems</w:t>
            </w:r>
            <w:r w:rsidRPr="009F7350">
              <w:rPr>
                <w:rFonts w:ascii="Arial" w:hAnsi="Arial" w:cs="Arial"/>
                <w:color w:val="000000"/>
                <w:sz w:val="18"/>
                <w:szCs w:val="18"/>
              </w:rPr>
              <w:br/>
              <w:t>(CDDSS)</w:t>
            </w:r>
          </w:p>
        </w:tc>
        <w:tc>
          <w:tcPr>
            <w:tcW w:w="2430" w:type="dxa"/>
            <w:hideMark/>
          </w:tcPr>
          <w:p w14:paraId="431282E8"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Meta-review of existing systematic reviews of CDS systems in primary care to improve diagnosis. Subjects (primary end-users of CDS) include individual clinicians; no specific criteria for setting.</w:t>
            </w:r>
          </w:p>
        </w:tc>
        <w:tc>
          <w:tcPr>
            <w:tcW w:w="4320" w:type="dxa"/>
            <w:hideMark/>
          </w:tcPr>
          <w:p w14:paraId="3834DEB7"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Identified the following requirements for successful integration of a CDS: a more standardized computable approach to knowledge representation is needed, one that can be readily updated as new knowledge is gained, and a deep integration with the EHR is needed in order to trigger at appropriate points in cognitive workflow.</w:t>
            </w:r>
          </w:p>
        </w:tc>
        <w:tc>
          <w:tcPr>
            <w:tcW w:w="1083" w:type="dxa"/>
            <w:hideMark/>
          </w:tcPr>
          <w:p w14:paraId="5F50E38D" w14:textId="77777777" w:rsidR="00BE4641" w:rsidRPr="009F7350" w:rsidRDefault="00BE4641" w:rsidP="008A7983">
            <w:pPr>
              <w:spacing w:after="0"/>
              <w:rPr>
                <w:rFonts w:ascii="Arial" w:hAnsi="Arial" w:cs="Arial"/>
                <w:sz w:val="18"/>
                <w:szCs w:val="18"/>
              </w:rPr>
            </w:pPr>
            <w:r w:rsidRPr="009F7350">
              <w:rPr>
                <w:rFonts w:ascii="Arial" w:hAnsi="Arial" w:cs="Arial"/>
                <w:sz w:val="18"/>
                <w:szCs w:val="18"/>
              </w:rPr>
              <w:t>None</w:t>
            </w:r>
          </w:p>
        </w:tc>
      </w:tr>
      <w:tr w:rsidR="00BE4641" w:rsidRPr="009F7350" w14:paraId="22026505" w14:textId="77777777" w:rsidTr="00C551F9">
        <w:trPr>
          <w:cantSplit/>
        </w:trPr>
        <w:tc>
          <w:tcPr>
            <w:tcW w:w="1075" w:type="dxa"/>
            <w:noWrap/>
            <w:hideMark/>
          </w:tcPr>
          <w:p w14:paraId="6FD63E0C" w14:textId="77777777" w:rsidR="00BE4641" w:rsidRPr="00C551F9" w:rsidRDefault="00BE4641" w:rsidP="008A7983">
            <w:pPr>
              <w:spacing w:after="0"/>
              <w:rPr>
                <w:rFonts w:ascii="Arial" w:hAnsi="Arial" w:cs="Arial"/>
                <w:b/>
                <w:color w:val="000000"/>
                <w:sz w:val="18"/>
                <w:szCs w:val="18"/>
                <w:vertAlign w:val="superscript"/>
              </w:rPr>
            </w:pPr>
            <w:r w:rsidRPr="00C551F9">
              <w:rPr>
                <w:rFonts w:ascii="Arial" w:hAnsi="Arial" w:cs="Arial"/>
                <w:b/>
                <w:color w:val="000000"/>
                <w:sz w:val="18"/>
                <w:szCs w:val="18"/>
              </w:rPr>
              <w:t>Riches et al., 2016</w:t>
            </w:r>
            <w:r w:rsidRPr="00C551F9">
              <w:rPr>
                <w:rFonts w:ascii="Arial" w:hAnsi="Arial" w:cs="Arial"/>
                <w:b/>
                <w:color w:val="000000"/>
                <w:sz w:val="18"/>
                <w:szCs w:val="18"/>
                <w:vertAlign w:val="superscript"/>
              </w:rPr>
              <w:t>8</w:t>
            </w:r>
          </w:p>
        </w:tc>
        <w:tc>
          <w:tcPr>
            <w:tcW w:w="2160" w:type="dxa"/>
            <w:hideMark/>
          </w:tcPr>
          <w:p w14:paraId="0917417B"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Differential diagnosis (DDX) generators</w:t>
            </w:r>
          </w:p>
        </w:tc>
        <w:tc>
          <w:tcPr>
            <w:tcW w:w="2430" w:type="dxa"/>
            <w:hideMark/>
          </w:tcPr>
          <w:p w14:paraId="5C37CD8B"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Systematic review and meta-analysis investigate the efficacy and utility</w:t>
            </w:r>
          </w:p>
          <w:p w14:paraId="63D540BC" w14:textId="77777777" w:rsidR="00BE4641" w:rsidRPr="009F7350" w:rsidRDefault="00BE4641" w:rsidP="008A7983">
            <w:pPr>
              <w:spacing w:after="0"/>
              <w:rPr>
                <w:rFonts w:ascii="Arial" w:hAnsi="Arial" w:cs="Arial"/>
                <w:color w:val="000000"/>
                <w:sz w:val="18"/>
                <w:szCs w:val="18"/>
              </w:rPr>
            </w:pPr>
            <w:proofErr w:type="gramStart"/>
            <w:r w:rsidRPr="009F7350">
              <w:rPr>
                <w:rFonts w:ascii="Arial" w:hAnsi="Arial" w:cs="Arial"/>
                <w:color w:val="000000"/>
                <w:sz w:val="18"/>
                <w:szCs w:val="18"/>
              </w:rPr>
              <w:t>of</w:t>
            </w:r>
            <w:proofErr w:type="gramEnd"/>
            <w:r w:rsidRPr="009F7350">
              <w:rPr>
                <w:rFonts w:ascii="Arial" w:hAnsi="Arial" w:cs="Arial"/>
                <w:color w:val="000000"/>
                <w:sz w:val="18"/>
                <w:szCs w:val="18"/>
              </w:rPr>
              <w:t xml:space="preserve"> DDX generators. Subjects include the individual user of the tool and the clinical case being entered into the tool; no specific criteria for setting.</w:t>
            </w:r>
          </w:p>
        </w:tc>
        <w:tc>
          <w:tcPr>
            <w:tcW w:w="4320" w:type="dxa"/>
            <w:hideMark/>
          </w:tcPr>
          <w:p w14:paraId="07215414"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The pooled accurate diagnosis retrieval rate of DDX tools was high, with high heterogeneity (pooled rate=0.70, 95% CI, 0.63 to 0.77; I2=97%, p&lt;0.0001). DDX generators did not demonstrate improved diagnostic retrieval compared with clinicians, but small improvements were seen in the before and after studies, in which clinicians had the opportunity to revisit their diagnoses following DDX generator consultation.</w:t>
            </w:r>
          </w:p>
        </w:tc>
        <w:tc>
          <w:tcPr>
            <w:tcW w:w="1083" w:type="dxa"/>
            <w:noWrap/>
            <w:hideMark/>
          </w:tcPr>
          <w:p w14:paraId="24A32656" w14:textId="77777777" w:rsidR="00BE4641" w:rsidRPr="009F7350" w:rsidRDefault="00BE4641" w:rsidP="008A7983">
            <w:pPr>
              <w:spacing w:after="0"/>
              <w:rPr>
                <w:rFonts w:ascii="Arial" w:hAnsi="Arial" w:cs="Arial"/>
                <w:sz w:val="18"/>
                <w:szCs w:val="18"/>
              </w:rPr>
            </w:pPr>
            <w:r w:rsidRPr="009F7350">
              <w:rPr>
                <w:rFonts w:ascii="Arial" w:hAnsi="Arial" w:cs="Arial"/>
                <w:sz w:val="18"/>
                <w:szCs w:val="18"/>
              </w:rPr>
              <w:t>None</w:t>
            </w:r>
          </w:p>
        </w:tc>
      </w:tr>
      <w:tr w:rsidR="00BE4641" w:rsidRPr="009F7350" w14:paraId="0746A655" w14:textId="77777777" w:rsidTr="00C551F9">
        <w:trPr>
          <w:cantSplit/>
        </w:trPr>
        <w:tc>
          <w:tcPr>
            <w:tcW w:w="1075" w:type="dxa"/>
            <w:noWrap/>
            <w:hideMark/>
          </w:tcPr>
          <w:p w14:paraId="50EA37FF" w14:textId="77777777" w:rsidR="00BE4641" w:rsidRPr="00C551F9" w:rsidRDefault="00BE4641" w:rsidP="008A7983">
            <w:pPr>
              <w:spacing w:after="0"/>
              <w:rPr>
                <w:rFonts w:ascii="Arial" w:hAnsi="Arial" w:cs="Arial"/>
                <w:b/>
                <w:color w:val="000000"/>
                <w:sz w:val="18"/>
                <w:szCs w:val="18"/>
                <w:vertAlign w:val="superscript"/>
              </w:rPr>
            </w:pPr>
            <w:proofErr w:type="spellStart"/>
            <w:r w:rsidRPr="00C551F9">
              <w:rPr>
                <w:rFonts w:ascii="Arial" w:hAnsi="Arial" w:cs="Arial"/>
                <w:b/>
                <w:color w:val="000000"/>
                <w:sz w:val="18"/>
                <w:szCs w:val="18"/>
              </w:rPr>
              <w:lastRenderedPageBreak/>
              <w:t>Wagholikar</w:t>
            </w:r>
            <w:proofErr w:type="spellEnd"/>
            <w:r w:rsidRPr="00C551F9">
              <w:rPr>
                <w:rFonts w:ascii="Arial" w:hAnsi="Arial" w:cs="Arial"/>
                <w:b/>
                <w:color w:val="000000"/>
                <w:sz w:val="18"/>
                <w:szCs w:val="18"/>
              </w:rPr>
              <w:t xml:space="preserve"> et al., 2012</w:t>
            </w:r>
            <w:r w:rsidRPr="00C551F9">
              <w:rPr>
                <w:rFonts w:ascii="Arial" w:hAnsi="Arial" w:cs="Arial"/>
                <w:b/>
                <w:color w:val="000000"/>
                <w:sz w:val="18"/>
                <w:szCs w:val="18"/>
                <w:vertAlign w:val="superscript"/>
              </w:rPr>
              <w:t>21</w:t>
            </w:r>
          </w:p>
        </w:tc>
        <w:tc>
          <w:tcPr>
            <w:tcW w:w="2160" w:type="dxa"/>
            <w:hideMark/>
          </w:tcPr>
          <w:p w14:paraId="447320E8"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Computer-assisted diagnosis models</w:t>
            </w:r>
          </w:p>
        </w:tc>
        <w:tc>
          <w:tcPr>
            <w:tcW w:w="2430" w:type="dxa"/>
            <w:hideMark/>
          </w:tcPr>
          <w:p w14:paraId="0FC23402"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Systematic review of modeling techniques to provide diagnostic support. The search strategy did not include limitations for settings or populations. (Search was focused on models.)</w:t>
            </w:r>
          </w:p>
        </w:tc>
        <w:tc>
          <w:tcPr>
            <w:tcW w:w="4320" w:type="dxa"/>
            <w:hideMark/>
          </w:tcPr>
          <w:p w14:paraId="2851EE65" w14:textId="77777777" w:rsidR="00BE4641" w:rsidRPr="009F7350" w:rsidRDefault="00BE4641" w:rsidP="008A7983">
            <w:pPr>
              <w:spacing w:after="0"/>
              <w:rPr>
                <w:rFonts w:ascii="Arial" w:hAnsi="Arial" w:cs="Arial"/>
                <w:color w:val="000000"/>
                <w:sz w:val="18"/>
                <w:szCs w:val="18"/>
              </w:rPr>
            </w:pPr>
            <w:r w:rsidRPr="009F7350">
              <w:rPr>
                <w:rFonts w:ascii="Arial" w:hAnsi="Arial" w:cs="Arial"/>
                <w:color w:val="000000"/>
                <w:sz w:val="18"/>
                <w:szCs w:val="18"/>
              </w:rPr>
              <w:t>General trends in research of medical decision support:</w:t>
            </w:r>
          </w:p>
          <w:p w14:paraId="6A335EF9" w14:textId="77777777" w:rsidR="00BE4641" w:rsidRPr="009F7350" w:rsidRDefault="00BE4641" w:rsidP="00DC6CBA">
            <w:pPr>
              <w:pStyle w:val="ListParagraph"/>
              <w:numPr>
                <w:ilvl w:val="0"/>
                <w:numId w:val="38"/>
              </w:numPr>
              <w:spacing w:after="0" w:line="240" w:lineRule="auto"/>
              <w:ind w:left="216" w:hanging="216"/>
              <w:contextualSpacing w:val="0"/>
              <w:rPr>
                <w:rFonts w:ascii="Arial" w:eastAsia="Times New Roman" w:hAnsi="Arial" w:cs="Arial"/>
                <w:color w:val="000000"/>
                <w:sz w:val="18"/>
                <w:szCs w:val="18"/>
              </w:rPr>
            </w:pPr>
            <w:r w:rsidRPr="009F7350">
              <w:rPr>
                <w:rFonts w:ascii="Arial" w:eastAsia="Times New Roman" w:hAnsi="Arial" w:cs="Arial"/>
                <w:color w:val="000000"/>
                <w:sz w:val="18"/>
                <w:szCs w:val="18"/>
              </w:rPr>
              <w:t>Improvement in the accuracy of MDS application may be possible by modeling of vague and temporal data, research on inference algorithms, integration of patient information from diverse sources, and improvement in gene profiling algorithms.</w:t>
            </w:r>
          </w:p>
          <w:p w14:paraId="4FCF5ED5" w14:textId="77777777" w:rsidR="00BE4641" w:rsidRPr="009F7350" w:rsidRDefault="00BE4641" w:rsidP="00DC6CBA">
            <w:pPr>
              <w:pStyle w:val="ListParagraph"/>
              <w:numPr>
                <w:ilvl w:val="0"/>
                <w:numId w:val="38"/>
              </w:numPr>
              <w:spacing w:after="0" w:line="240" w:lineRule="auto"/>
              <w:ind w:left="216" w:hanging="216"/>
              <w:contextualSpacing w:val="0"/>
              <w:rPr>
                <w:rFonts w:ascii="Arial" w:eastAsia="Times New Roman" w:hAnsi="Arial" w:cs="Arial"/>
                <w:color w:val="000000"/>
                <w:sz w:val="18"/>
                <w:szCs w:val="18"/>
              </w:rPr>
            </w:pPr>
            <w:r w:rsidRPr="009F7350">
              <w:rPr>
                <w:rFonts w:ascii="Arial" w:eastAsia="Times New Roman" w:hAnsi="Arial" w:cs="Arial"/>
                <w:color w:val="000000"/>
                <w:sz w:val="18"/>
                <w:szCs w:val="18"/>
              </w:rPr>
              <w:t>Research would be facilitated by public release of de-identified medical datasets and development of open-source data-mining tool kits.</w:t>
            </w:r>
          </w:p>
          <w:p w14:paraId="6175EC31" w14:textId="77777777" w:rsidR="00BE4641" w:rsidRPr="009F7350" w:rsidRDefault="00BE4641" w:rsidP="00DC6CBA">
            <w:pPr>
              <w:pStyle w:val="ListParagraph"/>
              <w:numPr>
                <w:ilvl w:val="0"/>
                <w:numId w:val="38"/>
              </w:numPr>
              <w:spacing w:after="0" w:line="240" w:lineRule="auto"/>
              <w:ind w:left="216" w:hanging="216"/>
              <w:contextualSpacing w:val="0"/>
              <w:rPr>
                <w:rFonts w:ascii="Arial" w:eastAsia="Times New Roman" w:hAnsi="Arial" w:cs="Arial"/>
                <w:color w:val="000000"/>
                <w:sz w:val="18"/>
                <w:szCs w:val="18"/>
              </w:rPr>
            </w:pPr>
            <w:r w:rsidRPr="009F7350">
              <w:rPr>
                <w:rFonts w:ascii="Arial" w:eastAsia="Times New Roman" w:hAnsi="Arial" w:cs="Arial"/>
                <w:color w:val="000000"/>
                <w:sz w:val="18"/>
                <w:szCs w:val="18"/>
              </w:rPr>
              <w:t>Comparative evaluations of different modeling techniques are required to understand characteristics of the techniques and to guide developers in the choice of technique for a particular medical decision problem.</w:t>
            </w:r>
          </w:p>
          <w:p w14:paraId="03F2F357" w14:textId="77777777" w:rsidR="00BE4641" w:rsidRPr="009F7350" w:rsidRDefault="00BE4641" w:rsidP="00DC6CBA">
            <w:pPr>
              <w:pStyle w:val="ListParagraph"/>
              <w:numPr>
                <w:ilvl w:val="0"/>
                <w:numId w:val="38"/>
              </w:numPr>
              <w:spacing w:after="0" w:line="240" w:lineRule="auto"/>
              <w:ind w:left="216" w:hanging="216"/>
              <w:contextualSpacing w:val="0"/>
              <w:rPr>
                <w:rFonts w:ascii="Arial" w:eastAsia="Times New Roman" w:hAnsi="Arial" w:cs="Arial"/>
                <w:color w:val="000000"/>
                <w:sz w:val="18"/>
                <w:szCs w:val="18"/>
              </w:rPr>
            </w:pPr>
            <w:r w:rsidRPr="009F7350">
              <w:rPr>
                <w:rFonts w:ascii="Arial" w:eastAsia="Times New Roman" w:hAnsi="Arial" w:cs="Arial"/>
                <w:color w:val="000000"/>
                <w:sz w:val="18"/>
                <w:szCs w:val="18"/>
              </w:rPr>
              <w:t>Evaluations of MDS applications in the clinical setting are necessary to foster physicians’ use of these decision aids.</w:t>
            </w:r>
          </w:p>
        </w:tc>
        <w:tc>
          <w:tcPr>
            <w:tcW w:w="1083" w:type="dxa"/>
            <w:noWrap/>
            <w:hideMark/>
          </w:tcPr>
          <w:p w14:paraId="1A6DF46C" w14:textId="77777777" w:rsidR="00BE4641" w:rsidRPr="009F7350" w:rsidRDefault="00BE4641" w:rsidP="008A7983">
            <w:pPr>
              <w:spacing w:after="0"/>
              <w:rPr>
                <w:rFonts w:ascii="Arial" w:hAnsi="Arial" w:cs="Arial"/>
                <w:sz w:val="18"/>
                <w:szCs w:val="18"/>
              </w:rPr>
            </w:pPr>
            <w:r w:rsidRPr="009F7350">
              <w:rPr>
                <w:rFonts w:ascii="Arial" w:hAnsi="Arial" w:cs="Arial"/>
                <w:sz w:val="18"/>
                <w:szCs w:val="18"/>
              </w:rPr>
              <w:t>None</w:t>
            </w:r>
          </w:p>
        </w:tc>
      </w:tr>
    </w:tbl>
    <w:p w14:paraId="5F95825B" w14:textId="08DC7427" w:rsidR="0036180D" w:rsidRDefault="0036180D" w:rsidP="00874D84">
      <w:pPr>
        <w:pStyle w:val="BodyText"/>
      </w:pPr>
    </w:p>
    <w:sectPr w:rsidR="0036180D" w:rsidSect="00C47CD2">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15"/>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96304" w14:textId="77777777" w:rsidR="00B209F2" w:rsidRDefault="00B209F2" w:rsidP="00DC17F5">
      <w:r>
        <w:separator/>
      </w:r>
    </w:p>
  </w:endnote>
  <w:endnote w:type="continuationSeparator" w:id="0">
    <w:p w14:paraId="2BF4BA3F" w14:textId="77777777" w:rsidR="00B209F2" w:rsidRDefault="00B209F2"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7A37" w14:textId="77777777" w:rsidR="00C47CD2" w:rsidRDefault="00C47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92B6C38" w:rsidR="003A5562" w:rsidRDefault="003A5562" w:rsidP="0004788C">
    <w:pPr>
      <w:pStyle w:val="Footer"/>
      <w:tabs>
        <w:tab w:val="clear" w:pos="4680"/>
        <w:tab w:val="clear" w:pos="9360"/>
        <w:tab w:val="right" w:pos="12960"/>
      </w:tabs>
    </w:pPr>
    <w:r>
      <w:t xml:space="preserve">Appendix </w:t>
    </w:r>
    <w:r w:rsidR="00C47CD2">
      <w:t>B</w:t>
    </w:r>
    <w:r>
      <w:tab/>
    </w:r>
    <w:r w:rsidR="00C47CD2">
      <w:t>B</w:t>
    </w:r>
    <w:r>
      <w:t>-</w:t>
    </w:r>
    <w:r>
      <w:fldChar w:fldCharType="begin"/>
    </w:r>
    <w:r>
      <w:instrText xml:space="preserve"> PAGE   \* MERGEFORMAT </w:instrText>
    </w:r>
    <w:r>
      <w:fldChar w:fldCharType="separate"/>
    </w:r>
    <w:r w:rsidR="00C47CD2">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DC946" w14:textId="77777777" w:rsidR="00C47CD2" w:rsidRDefault="00C47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80AED" w14:textId="77777777" w:rsidR="00B209F2" w:rsidRDefault="00B209F2" w:rsidP="00986558">
      <w:pPr>
        <w:spacing w:after="0"/>
      </w:pPr>
      <w:r>
        <w:separator/>
      </w:r>
    </w:p>
  </w:footnote>
  <w:footnote w:type="continuationSeparator" w:id="0">
    <w:p w14:paraId="3CA2BCBB" w14:textId="77777777" w:rsidR="00B209F2" w:rsidRDefault="00B209F2"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985C" w14:textId="77777777" w:rsidR="00C47CD2" w:rsidRDefault="00C47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AD65" w14:textId="77777777" w:rsidR="00C47CD2" w:rsidRDefault="00C47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4FCF" w14:textId="77777777" w:rsidR="00C47CD2" w:rsidRDefault="00C47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5EDE"/>
    <w:rsid w:val="005662EE"/>
    <w:rsid w:val="00566930"/>
    <w:rsid w:val="005707D6"/>
    <w:rsid w:val="005744D5"/>
    <w:rsid w:val="00574572"/>
    <w:rsid w:val="005747CA"/>
    <w:rsid w:val="005758D9"/>
    <w:rsid w:val="00575FD0"/>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434E"/>
    <w:rsid w:val="00726DD4"/>
    <w:rsid w:val="007307C7"/>
    <w:rsid w:val="00730F56"/>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74D84"/>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09F2"/>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47CD2"/>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B11E-8D53-4048-A570-42B9ED02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287</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3684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23</cp:revision>
  <cp:lastPrinted>2020-03-05T17:00:00Z</cp:lastPrinted>
  <dcterms:created xsi:type="dcterms:W3CDTF">2020-03-05T16:52:00Z</dcterms:created>
  <dcterms:modified xsi:type="dcterms:W3CDTF">2020-03-14T06:36:00Z</dcterms:modified>
  <cp:category>Templates</cp:category>
</cp:coreProperties>
</file>