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754C" w14:textId="686D760C" w:rsidR="000B7EE6" w:rsidRDefault="0089466E" w:rsidP="00571D14">
      <w:pPr>
        <w:pStyle w:val="ChapterHeading"/>
      </w:pPr>
      <w:bookmarkStart w:id="0" w:name="_Toc384720976"/>
      <w:bookmarkStart w:id="1" w:name="_GoBack"/>
      <w:bookmarkEnd w:id="1"/>
      <w:r w:rsidRPr="000171EB">
        <w:t>Appendix A. CER Report and Journal Articles</w:t>
      </w:r>
      <w:bookmarkEnd w:id="0"/>
    </w:p>
    <w:p w14:paraId="4684F52E" w14:textId="77777777" w:rsidR="000B7EE6" w:rsidRPr="000B7EE6" w:rsidRDefault="000B7EE6" w:rsidP="000B7EE6">
      <w:pPr>
        <w:keepNext/>
        <w:spacing w:before="240"/>
        <w:rPr>
          <w:rFonts w:ascii="Arial" w:eastAsia="Calibri" w:hAnsi="Arial"/>
          <w:b/>
          <w:color w:val="000000"/>
          <w:sz w:val="20"/>
          <w:szCs w:val="24"/>
        </w:rPr>
      </w:pPr>
      <w:r w:rsidRPr="000B7EE6">
        <w:rPr>
          <w:rFonts w:ascii="Arial" w:eastAsia="Calibri" w:hAnsi="Arial"/>
          <w:b/>
          <w:color w:val="000000"/>
          <w:sz w:val="20"/>
          <w:szCs w:val="24"/>
        </w:rPr>
        <w:t>Table A1. Comparative Effectiveness Reviews selected for utilization monitoring</w:t>
      </w:r>
    </w:p>
    <w:tbl>
      <w:tblPr>
        <w:tblStyle w:val="TableGrid11"/>
        <w:tblW w:w="12960" w:type="dxa"/>
        <w:tblLayout w:type="fixed"/>
        <w:tblLook w:val="04A0" w:firstRow="1" w:lastRow="0" w:firstColumn="1" w:lastColumn="0" w:noHBand="0" w:noVBand="1"/>
      </w:tblPr>
      <w:tblGrid>
        <w:gridCol w:w="6176"/>
        <w:gridCol w:w="1037"/>
        <w:gridCol w:w="5747"/>
      </w:tblGrid>
      <w:tr w:rsidR="000B7EE6" w:rsidRPr="000B7EE6" w14:paraId="7F459612" w14:textId="77777777" w:rsidTr="000B7EE6">
        <w:trPr>
          <w:cantSplit/>
          <w:tblHeader/>
        </w:trPr>
        <w:tc>
          <w:tcPr>
            <w:tcW w:w="6176" w:type="dxa"/>
          </w:tcPr>
          <w:p w14:paraId="75BED307" w14:textId="77777777" w:rsidR="000B7EE6" w:rsidRPr="000B7EE6" w:rsidRDefault="000B7EE6" w:rsidP="000B7EE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Report Citation</w:t>
            </w:r>
          </w:p>
        </w:tc>
        <w:tc>
          <w:tcPr>
            <w:tcW w:w="1037" w:type="dxa"/>
          </w:tcPr>
          <w:p w14:paraId="34B2B445" w14:textId="77777777" w:rsidR="000B7EE6" w:rsidRPr="000B7EE6" w:rsidRDefault="000B7EE6" w:rsidP="000B7EE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Selection Reason</w:t>
            </w:r>
          </w:p>
        </w:tc>
        <w:tc>
          <w:tcPr>
            <w:tcW w:w="5747" w:type="dxa"/>
          </w:tcPr>
          <w:p w14:paraId="46BA9727" w14:textId="1D18FB95" w:rsidR="000B7EE6" w:rsidRPr="000B7EE6" w:rsidRDefault="000B7EE6" w:rsidP="0090034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Journal </w:t>
            </w:r>
            <w:r w:rsidR="009003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rticle(s); </w:t>
            </w:r>
            <w:r w:rsidR="009003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omments</w:t>
            </w:r>
          </w:p>
        </w:tc>
      </w:tr>
      <w:tr w:rsidR="000B7EE6" w:rsidRPr="000B7EE6" w14:paraId="656470DE" w14:textId="77777777" w:rsidTr="000B7EE6">
        <w:tc>
          <w:tcPr>
            <w:tcW w:w="6176" w:type="dxa"/>
          </w:tcPr>
          <w:p w14:paraId="2B9B27C0" w14:textId="77777777" w:rsidR="000B7EE6" w:rsidRPr="000B7EE6" w:rsidRDefault="000B7EE6" w:rsidP="000B7EE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Year (number selected)</w:t>
            </w:r>
          </w:p>
        </w:tc>
        <w:tc>
          <w:tcPr>
            <w:tcW w:w="1037" w:type="dxa"/>
          </w:tcPr>
          <w:p w14:paraId="7A50CA49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086D550C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B7EE6" w:rsidRPr="000B7EE6" w14:paraId="6A71805F" w14:textId="77777777" w:rsidTr="000B7EE6">
        <w:tc>
          <w:tcPr>
            <w:tcW w:w="6176" w:type="dxa"/>
          </w:tcPr>
          <w:p w14:paraId="594AE7BD" w14:textId="77777777" w:rsidR="000B7EE6" w:rsidRPr="000B7EE6" w:rsidRDefault="000B7EE6" w:rsidP="000B7EE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2009 (3)</w:t>
            </w:r>
          </w:p>
        </w:tc>
        <w:tc>
          <w:tcPr>
            <w:tcW w:w="1037" w:type="dxa"/>
          </w:tcPr>
          <w:p w14:paraId="29A91780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56F75B2C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B7EE6" w:rsidRPr="000B7EE6" w14:paraId="78B68BEC" w14:textId="77777777" w:rsidTr="00252CAC">
        <w:trPr>
          <w:cantSplit/>
        </w:trPr>
        <w:tc>
          <w:tcPr>
            <w:tcW w:w="6176" w:type="dxa"/>
          </w:tcPr>
          <w:p w14:paraId="1F56B11A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Hartmann KE,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McPheeters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ML, Biller DH, Ward RM,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McKoy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JN, Jerome RN,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Micucci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SR,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Meints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L, Fisher JA, Scott TA, Slaughter JC,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Blume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JD. Treatment of Overactive Bladder in Women. Evidence Report/Technology Assessment No. 187 (Prepared by the Vanderbilt Evidence-based Practice Center under Contract No. 290-2007-10065-I). AHRQ Publication No. 09-E017. Rockville, MD: Agency for Healthcare Research and Quality. August 2009.</w:t>
            </w:r>
          </w:p>
        </w:tc>
        <w:tc>
          <w:tcPr>
            <w:tcW w:w="1037" w:type="dxa"/>
          </w:tcPr>
          <w:p w14:paraId="5BD4FE32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1528B682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None identified;</w:t>
            </w:r>
          </w:p>
          <w:p w14:paraId="55EE53BF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Cited as the primary source in AUA/SUFA Guideline: </w:t>
            </w:r>
          </w:p>
          <w:p w14:paraId="330F9AE8" w14:textId="14F50196" w:rsidR="000B7EE6" w:rsidRPr="000B7EE6" w:rsidRDefault="000B7EE6" w:rsidP="000B7EE6">
            <w:pPr>
              <w:autoSpaceDE w:val="0"/>
              <w:autoSpaceDN w:val="0"/>
              <w:adjustRightInd w:val="0"/>
              <w:ind w:left="-13" w:firstLine="13"/>
            </w:pP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Gormley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E,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Lightner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DJ,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Burgio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KL, et al. Diagnosis and treatment of overactive bladder (non-neurogenic) in adults: AUA/SUFU guideline. The Journal of </w:t>
            </w:r>
            <w:r w:rsidR="000171EB" w:rsidRPr="000B7EE6">
              <w:rPr>
                <w:rFonts w:ascii="Plain Font" w:eastAsia="Calibri" w:hAnsi="Plain Font" w:cs="Plain Font"/>
                <w:sz w:val="18"/>
                <w:szCs w:val="18"/>
              </w:rPr>
              <w:t>U</w:t>
            </w: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rology. 2012.</w:t>
            </w:r>
          </w:p>
        </w:tc>
      </w:tr>
      <w:tr w:rsidR="000B7EE6" w:rsidRPr="000B7EE6" w14:paraId="2DE982F2" w14:textId="77777777" w:rsidTr="00252CAC">
        <w:trPr>
          <w:cantSplit/>
        </w:trPr>
        <w:tc>
          <w:tcPr>
            <w:tcW w:w="6176" w:type="dxa"/>
          </w:tcPr>
          <w:p w14:paraId="0E22CE2E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Sharma M, Ansari MT,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Soares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-Weiser K,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Abou-setta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Ooi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TC, Sears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Yazdi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F,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Tsertsvadze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Moher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D. Comparative Effectiveness of Lipid-Modifying Agents. Comparative Effectiveness Review No. 16. (Prepared by the University of Ottawa Evidence-based Practice Center under contract No. 290-02-0021.) Rockville, MD: Agency for Healthcare Research and Quality. September 2009.</w:t>
            </w:r>
          </w:p>
        </w:tc>
        <w:tc>
          <w:tcPr>
            <w:tcW w:w="1037" w:type="dxa"/>
          </w:tcPr>
          <w:p w14:paraId="684C6E56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5731B8D9" w14:textId="77777777" w:rsidR="000B7EE6" w:rsidRPr="000B7EE6" w:rsidRDefault="000B7EE6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Sharma M, Ansari MT,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Abou-Setta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AM, et al. Systematic review: comparative effectiveness and harms of combination therapy and monotherapy for dyslipidemia. Ann Intern Med. 2009 Nov 3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;151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(9):622-30. PMID 19884623.</w:t>
            </w:r>
          </w:p>
          <w:p w14:paraId="298D5458" w14:textId="3ADED272" w:rsidR="000B7EE6" w:rsidRPr="000B7EE6" w:rsidRDefault="003F7E3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>Sharma M. Combination therapy for dyslipidemia. Current opinion in cardiology. 2011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;26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(5):420-3.</w:t>
            </w:r>
          </w:p>
        </w:tc>
      </w:tr>
      <w:tr w:rsidR="000B7EE6" w:rsidRPr="000B7EE6" w14:paraId="5C556130" w14:textId="77777777" w:rsidTr="00252CAC">
        <w:trPr>
          <w:cantSplit/>
        </w:trPr>
        <w:tc>
          <w:tcPr>
            <w:tcW w:w="6176" w:type="dxa"/>
          </w:tcPr>
          <w:p w14:paraId="7251429F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Bruening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W,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Schoelles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K, Treadwell J, Launders J,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Fontanarosa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J, Tipton K. Comparative Effectiveness of Core-Needle and Open Surgical Biopsy for the Diagnosis of Breast Lesions. Comparative Effectiveness Review No. 19. (Prepared by ECRI Institute Evidence-based Practice Center under Contract No. 290-02-0019.) Rockville, MD: Agency for Healthcare Research and Quality. December 2009.</w:t>
            </w:r>
          </w:p>
        </w:tc>
        <w:tc>
          <w:tcPr>
            <w:tcW w:w="1037" w:type="dxa"/>
          </w:tcPr>
          <w:p w14:paraId="3275BD42" w14:textId="77777777" w:rsidR="000B7EE6" w:rsidRPr="000B7EE6" w:rsidRDefault="000B7EE6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69EA4B3D" w14:textId="4B316988" w:rsidR="000B7EE6" w:rsidRPr="000B7EE6" w:rsidRDefault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Bruening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, W., et al. "Systematic review: comparative effectiveness of core-needle and open surgical biopsy to diagnose breast lesions." Ann Intern Med </w:t>
            </w:r>
            <w:r w:rsidR="00952C57">
              <w:rPr>
                <w:rFonts w:ascii="Arial" w:eastAsia="Calibri" w:hAnsi="Arial" w:cs="Arial"/>
                <w:sz w:val="18"/>
                <w:szCs w:val="18"/>
              </w:rPr>
              <w:t>2010</w:t>
            </w:r>
            <w:proofErr w:type="gramStart"/>
            <w:r w:rsidR="00952C5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152</w:t>
            </w:r>
            <w:proofErr w:type="gramEnd"/>
            <w:r w:rsidRPr="000B7EE6">
              <w:rPr>
                <w:rFonts w:ascii="Arial" w:eastAsia="Calibri" w:hAnsi="Arial" w:cs="Arial"/>
                <w:sz w:val="18"/>
                <w:szCs w:val="18"/>
              </w:rPr>
              <w:t>(4): 238-246.</w:t>
            </w:r>
          </w:p>
        </w:tc>
      </w:tr>
    </w:tbl>
    <w:p w14:paraId="4BAD618A" w14:textId="77777777" w:rsidR="009B2562" w:rsidRDefault="009B2562">
      <w:r>
        <w:br w:type="page"/>
      </w:r>
    </w:p>
    <w:tbl>
      <w:tblPr>
        <w:tblStyle w:val="TableGrid11"/>
        <w:tblW w:w="12960" w:type="dxa"/>
        <w:tblLayout w:type="fixed"/>
        <w:tblLook w:val="04A0" w:firstRow="1" w:lastRow="0" w:firstColumn="1" w:lastColumn="0" w:noHBand="0" w:noVBand="1"/>
      </w:tblPr>
      <w:tblGrid>
        <w:gridCol w:w="6176"/>
        <w:gridCol w:w="1037"/>
        <w:gridCol w:w="5747"/>
      </w:tblGrid>
      <w:tr w:rsidR="009B2562" w:rsidRPr="000B7EE6" w14:paraId="53EC3F41" w14:textId="77777777" w:rsidTr="00BC2089">
        <w:trPr>
          <w:cantSplit/>
          <w:tblHeader/>
        </w:trPr>
        <w:tc>
          <w:tcPr>
            <w:tcW w:w="12960" w:type="dxa"/>
            <w:gridSpan w:val="3"/>
            <w:tcBorders>
              <w:top w:val="nil"/>
              <w:left w:val="nil"/>
              <w:right w:val="nil"/>
            </w:tcBorders>
          </w:tcPr>
          <w:p w14:paraId="5C08AD46" w14:textId="0C899D87" w:rsidR="009B2562" w:rsidRPr="00BC2089" w:rsidRDefault="009B2562" w:rsidP="00BC2089">
            <w:pPr>
              <w:keepNext/>
              <w:spacing w:before="240"/>
              <w:rPr>
                <w:rFonts w:ascii="Arial" w:eastAsia="Calibri" w:hAnsi="Arial"/>
                <w:b/>
                <w:color w:val="000000"/>
                <w:sz w:val="20"/>
                <w:szCs w:val="24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A1. Comparative Effectiveness Reviews sele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>cted for utilization monitoring (continued)</w:t>
            </w:r>
          </w:p>
        </w:tc>
      </w:tr>
      <w:tr w:rsidR="009B2562" w:rsidRPr="000B7EE6" w14:paraId="1B50FA4F" w14:textId="77777777" w:rsidTr="00BC2089">
        <w:trPr>
          <w:cantSplit/>
          <w:tblHeader/>
        </w:trPr>
        <w:tc>
          <w:tcPr>
            <w:tcW w:w="6176" w:type="dxa"/>
          </w:tcPr>
          <w:p w14:paraId="483059FE" w14:textId="25334D75" w:rsidR="009B2562" w:rsidRPr="000B7EE6" w:rsidRDefault="009B2562" w:rsidP="00BC208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Report Citation</w:t>
            </w:r>
          </w:p>
        </w:tc>
        <w:tc>
          <w:tcPr>
            <w:tcW w:w="1037" w:type="dxa"/>
          </w:tcPr>
          <w:p w14:paraId="01F94842" w14:textId="3C2F48E9" w:rsidR="009B2562" w:rsidRPr="000B7EE6" w:rsidRDefault="009B25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Selection Reason</w:t>
            </w:r>
          </w:p>
        </w:tc>
        <w:tc>
          <w:tcPr>
            <w:tcW w:w="5747" w:type="dxa"/>
          </w:tcPr>
          <w:p w14:paraId="5355BD6E" w14:textId="7D0CF074" w:rsidR="009B2562" w:rsidRPr="000B7EE6" w:rsidRDefault="009B25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Journal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rticle(s);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omments</w:t>
            </w:r>
          </w:p>
        </w:tc>
      </w:tr>
      <w:tr w:rsidR="009B2562" w:rsidRPr="000B7EE6" w14:paraId="6EEC72EC" w14:textId="77777777" w:rsidTr="00252CAC">
        <w:trPr>
          <w:cantSplit/>
        </w:trPr>
        <w:tc>
          <w:tcPr>
            <w:tcW w:w="6176" w:type="dxa"/>
          </w:tcPr>
          <w:p w14:paraId="527E5C35" w14:textId="0B1BFC5E" w:rsidR="009B2562" w:rsidRPr="000B7EE6" w:rsidRDefault="009B2562" w:rsidP="000B7EE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2010 (3)</w:t>
            </w:r>
          </w:p>
        </w:tc>
        <w:tc>
          <w:tcPr>
            <w:tcW w:w="1037" w:type="dxa"/>
          </w:tcPr>
          <w:p w14:paraId="54A43B10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3B7ABE89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B2562" w:rsidRPr="000B7EE6" w14:paraId="6C07FF93" w14:textId="77777777" w:rsidTr="00252CAC">
        <w:trPr>
          <w:cantSplit/>
        </w:trPr>
        <w:tc>
          <w:tcPr>
            <w:tcW w:w="6176" w:type="dxa"/>
          </w:tcPr>
          <w:p w14:paraId="0001A9D2" w14:textId="41AA5D66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Whitlock EP, O’Connor EA, Williams SB,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Beil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TL, Lutz KW. Effectiveness of Primary Care Interventions for Weight Management in Children and Adolescents: An Updated, Targeted Systematic Review for the USPSTF. Evidence Synthesis No. 76. AHRQ Publication No. 10-05144-EF-1. </w:t>
            </w:r>
            <w:r>
              <w:rPr>
                <w:rFonts w:ascii="Arial" w:eastAsia="Calibri" w:hAnsi="Arial" w:cs="Arial"/>
                <w:sz w:val="18"/>
                <w:szCs w:val="18"/>
              </w:rPr>
              <w:t>Rockville, MD: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Agency for Healthcare Research and Quality, January 2010.</w:t>
            </w:r>
          </w:p>
        </w:tc>
        <w:tc>
          <w:tcPr>
            <w:tcW w:w="1037" w:type="dxa"/>
          </w:tcPr>
          <w:p w14:paraId="5ADC87EC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05AA2988" w14:textId="044B6D21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>Whitlock EP, O'Connor EA, Williams SB, et al. Effectiveness of weight management interventions in children: a targeted systematic review for the USPSTF. Pediatrics. 2010 Feb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;125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(2):e396-418. PMID 20083531.</w:t>
            </w:r>
          </w:p>
        </w:tc>
      </w:tr>
      <w:tr w:rsidR="009B2562" w:rsidRPr="000B7EE6" w14:paraId="130EB411" w14:textId="77777777" w:rsidTr="00252CAC">
        <w:trPr>
          <w:cantSplit/>
        </w:trPr>
        <w:tc>
          <w:tcPr>
            <w:tcW w:w="6176" w:type="dxa"/>
          </w:tcPr>
          <w:p w14:paraId="09E49AF3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Dryden DM, Spooner CH, </w:t>
            </w:r>
            <w:proofErr w:type="spellStart"/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Stickland</w:t>
            </w:r>
            <w:proofErr w:type="spellEnd"/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MK, </w:t>
            </w:r>
            <w:proofErr w:type="spellStart"/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Vandermeer</w:t>
            </w:r>
            <w:proofErr w:type="spellEnd"/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B, </w:t>
            </w:r>
            <w:proofErr w:type="spellStart"/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Tjosvold</w:t>
            </w:r>
            <w:proofErr w:type="spellEnd"/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L, Bialy L, Wong K, Rowe BH. Exercise-Induced Bronchoconstriction and Asthma. Evidence Report/Technology Assessment No. 189 (Prepared by the University of Alberta Evidence-based Practice Center under Contract No. 290-2007-10021-I) AHRQ Publication No. 10-E001. Rockville, MD: Agency for Healthcare Research and Quality. January 2010 (Web site posting); revised March 2010.</w:t>
            </w:r>
          </w:p>
        </w:tc>
        <w:tc>
          <w:tcPr>
            <w:tcW w:w="1037" w:type="dxa"/>
          </w:tcPr>
          <w:p w14:paraId="22190903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357B7C6D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Stickland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MK, Rowe BH, Spooner CH, et al. Accuracy of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eucapnic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hyperpnea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or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mannitol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to diagnose exercise-induced bronchoconstriction: a systematic review. Annals of Allergy, Asthma &amp; Immunology. 2011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;107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(3):229-34. e8.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D612E3F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38201E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Stickland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MK, Rowe BH, Spooner CH, et al. Effect of warm-up exercise on exercise-induced bronchoconstriction. Med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Sci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Sports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Exerc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. 2012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;44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(3):383-91.</w:t>
            </w:r>
          </w:p>
          <w:p w14:paraId="28351B0E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5BC12E" w14:textId="5CA6431C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Stickland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MK, Spooner CH, Dryden DM, et al. The need for standardization in exercise challenge testing for exercise-induced asthma/bronchoconstriction. J Allergy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Clin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Immunol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>. 2010 Oct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;126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(4):878-80 e6. PMID 20920779.</w:t>
            </w:r>
          </w:p>
        </w:tc>
      </w:tr>
      <w:tr w:rsidR="009B2562" w:rsidRPr="000B7EE6" w14:paraId="74CFEC59" w14:textId="77777777" w:rsidTr="00252CAC">
        <w:trPr>
          <w:cantSplit/>
        </w:trPr>
        <w:tc>
          <w:tcPr>
            <w:tcW w:w="6176" w:type="dxa"/>
          </w:tcPr>
          <w:p w14:paraId="361EA60D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Seida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J, Schouten J,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Mousavi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Tjosvold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L,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Vandermeer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B, Milne A, Bond K,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Hartling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L, LeBlanc 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Sheps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D. Comparative Effectiveness of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Nonoperative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and Operative Treatment for Rotator Cuff Tears. Comparative Effectiveness Review No. 22. (Prepared by the University of Alberta Evidence-based Practice Center under Contract No. 290-02-0023.) AHRQ Publication No. 10-EHC050. Rockville, MD: Agency for Healthcare Research and Quality. July 2010.</w:t>
            </w:r>
          </w:p>
        </w:tc>
        <w:tc>
          <w:tcPr>
            <w:tcW w:w="1037" w:type="dxa"/>
          </w:tcPr>
          <w:p w14:paraId="50D50B33" w14:textId="77777777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181B9280" w14:textId="716964E2" w:rsidR="009B2562" w:rsidRPr="000B7EE6" w:rsidRDefault="009B25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Seida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JC, LeBlanc C, Schouten JR, et al. Systematic review: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nonoperative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and operative treatments for rotator cuff tears. Ann Intern Med. 2010 Aug 17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;153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(4):246-55. PMID 20621893.</w:t>
            </w:r>
          </w:p>
        </w:tc>
      </w:tr>
    </w:tbl>
    <w:p w14:paraId="40A9B283" w14:textId="77777777" w:rsidR="009B2562" w:rsidRDefault="009B2562">
      <w:r>
        <w:br w:type="page"/>
      </w:r>
    </w:p>
    <w:tbl>
      <w:tblPr>
        <w:tblStyle w:val="TableGrid11"/>
        <w:tblW w:w="12960" w:type="dxa"/>
        <w:tblLayout w:type="fixed"/>
        <w:tblLook w:val="04A0" w:firstRow="1" w:lastRow="0" w:firstColumn="1" w:lastColumn="0" w:noHBand="0" w:noVBand="1"/>
      </w:tblPr>
      <w:tblGrid>
        <w:gridCol w:w="6176"/>
        <w:gridCol w:w="1037"/>
        <w:gridCol w:w="5747"/>
      </w:tblGrid>
      <w:tr w:rsidR="009B2562" w:rsidRPr="000B7EE6" w14:paraId="5433BE19" w14:textId="77777777" w:rsidTr="00BC2089">
        <w:trPr>
          <w:cantSplit/>
          <w:tblHeader/>
        </w:trPr>
        <w:tc>
          <w:tcPr>
            <w:tcW w:w="12960" w:type="dxa"/>
            <w:gridSpan w:val="3"/>
            <w:tcBorders>
              <w:top w:val="nil"/>
              <w:left w:val="nil"/>
              <w:right w:val="nil"/>
            </w:tcBorders>
          </w:tcPr>
          <w:p w14:paraId="13663CB6" w14:textId="3A8CCB37" w:rsidR="009B25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A1. Comparative Effectiveness Reviews sele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>cted for utilization monitoring (continued)</w:t>
            </w:r>
          </w:p>
        </w:tc>
      </w:tr>
      <w:tr w:rsidR="007E3462" w:rsidRPr="000B7EE6" w14:paraId="3ED12F7F" w14:textId="77777777" w:rsidTr="00BC2089">
        <w:trPr>
          <w:cantSplit/>
          <w:tblHeader/>
        </w:trPr>
        <w:tc>
          <w:tcPr>
            <w:tcW w:w="6176" w:type="dxa"/>
          </w:tcPr>
          <w:p w14:paraId="13DFD01E" w14:textId="50E365AE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Report Citation</w:t>
            </w:r>
          </w:p>
        </w:tc>
        <w:tc>
          <w:tcPr>
            <w:tcW w:w="1037" w:type="dxa"/>
          </w:tcPr>
          <w:p w14:paraId="0C3FBEC8" w14:textId="3EC0A7CB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Selection Reason</w:t>
            </w:r>
          </w:p>
        </w:tc>
        <w:tc>
          <w:tcPr>
            <w:tcW w:w="5747" w:type="dxa"/>
          </w:tcPr>
          <w:p w14:paraId="0486B4C2" w14:textId="7FF1D994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Journal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rticle(s);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omments</w:t>
            </w:r>
          </w:p>
        </w:tc>
      </w:tr>
      <w:tr w:rsidR="007E3462" w:rsidRPr="000B7EE6" w14:paraId="21B02A8A" w14:textId="77777777" w:rsidTr="00252CAC">
        <w:trPr>
          <w:cantSplit/>
        </w:trPr>
        <w:tc>
          <w:tcPr>
            <w:tcW w:w="6176" w:type="dxa"/>
          </w:tcPr>
          <w:p w14:paraId="67AB06D8" w14:textId="74717BDD" w:rsidR="007E3462" w:rsidRPr="000B7EE6" w:rsidRDefault="007E3462" w:rsidP="000B7EE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2011 (6)</w:t>
            </w:r>
          </w:p>
        </w:tc>
        <w:tc>
          <w:tcPr>
            <w:tcW w:w="1037" w:type="dxa"/>
          </w:tcPr>
          <w:p w14:paraId="273277B1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5626985E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E3462" w:rsidRPr="000B7EE6" w14:paraId="61A012EF" w14:textId="77777777" w:rsidTr="00252CAC">
        <w:trPr>
          <w:cantSplit/>
        </w:trPr>
        <w:tc>
          <w:tcPr>
            <w:tcW w:w="6176" w:type="dxa"/>
          </w:tcPr>
          <w:p w14:paraId="7E5CA22E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Bennett WL, Wilson LM, Bolen S,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Maruthur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N, Singh, S, Chatterjee R,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Marinopoulos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SS,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Puhan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Ranasinghe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P, Nicholson WK, Block L,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Odelola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O,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Dalal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DS,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Ogbeche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GE, Chandrasekhar 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Hutfless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S, Bass EB, Segal JB. Oral Diabetes Medications for Adults With Type 2 Diabetes: An Update. Comparative Effectiveness Review No. 27. (Prepared by Johns Hopkins University Evidence-based Practice Center under Contract No. 290-02-0018.) AHRQ Publication No. 11-EHC038-EF. Rockville, MD: Agency for Healthcare Research and Quality. March 2011.</w:t>
            </w:r>
          </w:p>
        </w:tc>
        <w:tc>
          <w:tcPr>
            <w:tcW w:w="1037" w:type="dxa"/>
          </w:tcPr>
          <w:p w14:paraId="42C6CBCD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18BB39AB" w14:textId="748637AC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Bennett WL,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Maruthur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NM, Singh S, et al. Comparative effectiveness and safety of medications for type 2 diabetes: an update including new drugs and 2-drug combinations. Ann Intern Med. 2011 May 3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;154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(9):602-13. PMID 21403054.</w:t>
            </w:r>
          </w:p>
        </w:tc>
      </w:tr>
      <w:tr w:rsidR="007E3462" w:rsidRPr="000B7EE6" w14:paraId="781CC480" w14:textId="77777777" w:rsidTr="00252CAC">
        <w:trPr>
          <w:cantSplit/>
        </w:trPr>
        <w:tc>
          <w:tcPr>
            <w:tcW w:w="6176" w:type="dxa"/>
          </w:tcPr>
          <w:p w14:paraId="55035568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Sanders GD,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Coeytaux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R, Dolor RJ, Hasselblad V, Patel UD, Powers B,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Yancy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Jr WS, Gray RN, Irvine RJ, Kendrick A. Angiotensin-Converting Enzyme Inhibitors (ACEIs), Angiotensin II Receptor Antagonists (ARBs), and Direct Renin Inhibitors for Treating Essential Hypertension: An Update. Comparative Effectiveness Review No. 34. (Prepared by the Duke Evidence-based Practice Center under Contract No. 290-02-0025.) AHRQ Publication No. 11-EHC063-EF. Rockville, MD: Agency for Healthcare Research and Quality. June 2011.</w:t>
            </w:r>
          </w:p>
        </w:tc>
        <w:tc>
          <w:tcPr>
            <w:tcW w:w="1037" w:type="dxa"/>
          </w:tcPr>
          <w:p w14:paraId="7BF056E9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01C4FB89" w14:textId="533C1589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Powers BJ,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Coeytaux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RR, Dolor RJ, et al. Updated report on comparative effectiveness of ACE inhibitors, ARBs, and direct renin inhibitors for patients with essential hypertension: much more data, little new information. J Gen Intern Med. 2012 Jun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;27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(6):716-29. PMID 22147122.</w:t>
            </w:r>
          </w:p>
          <w:p w14:paraId="7CF257BC" w14:textId="5CDD96F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Powers B, Greene L, Balfe LM. Updates on the treatment of essential hypertension: a summary of AHRQ’s comparative effectiveness review of angiotensin-converting enzyme inhibitors, angiotensin ii receptor blockers, and direct renin inhibitors. Journal of Managed Care Pharmacy. 2011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;17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(8).</w:t>
            </w:r>
          </w:p>
        </w:tc>
      </w:tr>
      <w:tr w:rsidR="007E3462" w:rsidRPr="000B7EE6" w14:paraId="4DC0B693" w14:textId="77777777" w:rsidTr="00252CAC">
        <w:trPr>
          <w:cantSplit/>
        </w:trPr>
        <w:tc>
          <w:tcPr>
            <w:tcW w:w="6176" w:type="dxa"/>
          </w:tcPr>
          <w:p w14:paraId="02AB675A" w14:textId="43130EF9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Ip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S, Chung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Moorthy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D, Yu WW, Lee J, Chan JA,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Bonis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PA, Lau J. Comparative Effectiveness of Management Strategies for Gastroesophageal Reflux Disease: Update. Comparative Effectiveness Review No. 29. (Prepared by Tufts Medical Center Evidence-based Practice Center under Contract No.  290-2007-10055-I.) AHRQ Publication No. 11-EHC049-EF. Rockville, MD: Agency for Healthcare Research and Quality. September 2011.</w:t>
            </w:r>
          </w:p>
        </w:tc>
        <w:tc>
          <w:tcPr>
            <w:tcW w:w="1037" w:type="dxa"/>
          </w:tcPr>
          <w:p w14:paraId="04A89D20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53A0754C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None identified</w:t>
            </w:r>
          </w:p>
        </w:tc>
      </w:tr>
      <w:tr w:rsidR="007E3462" w:rsidRPr="000B7EE6" w14:paraId="562F5D57" w14:textId="77777777" w:rsidTr="00252CAC">
        <w:trPr>
          <w:cantSplit/>
        </w:trPr>
        <w:tc>
          <w:tcPr>
            <w:tcW w:w="6176" w:type="dxa"/>
          </w:tcPr>
          <w:p w14:paraId="75291305" w14:textId="4D323701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Chou R,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McDonagh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MS,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Nakamoto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E, Griffin J. Analgesics for Osteoarthritis: An Update of the 2006 Comparative Effectiveness Review. Comparative Effectiveness Review No. 38. (Prepared by the Oregon Evidence-based Practice Center under Contract No.  290 2007 10057 I) AHRQ Publication No. 11(12)-EHC076-EF. Rockville, MD: Agency for Healthcare Research and Quality. October 2011.</w:t>
            </w:r>
          </w:p>
        </w:tc>
        <w:tc>
          <w:tcPr>
            <w:tcW w:w="1037" w:type="dxa"/>
          </w:tcPr>
          <w:p w14:paraId="43CB9D0E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7554EDB0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None identified</w:t>
            </w:r>
          </w:p>
        </w:tc>
      </w:tr>
    </w:tbl>
    <w:p w14:paraId="18E2344B" w14:textId="77777777" w:rsidR="007E3462" w:rsidRDefault="007E3462">
      <w:r>
        <w:br w:type="page"/>
      </w:r>
    </w:p>
    <w:tbl>
      <w:tblPr>
        <w:tblStyle w:val="TableGrid11"/>
        <w:tblW w:w="12960" w:type="dxa"/>
        <w:tblLayout w:type="fixed"/>
        <w:tblLook w:val="04A0" w:firstRow="1" w:lastRow="0" w:firstColumn="1" w:lastColumn="0" w:noHBand="0" w:noVBand="1"/>
      </w:tblPr>
      <w:tblGrid>
        <w:gridCol w:w="6176"/>
        <w:gridCol w:w="1037"/>
        <w:gridCol w:w="5747"/>
      </w:tblGrid>
      <w:tr w:rsidR="007E3462" w:rsidRPr="000B7EE6" w14:paraId="79A6D42C" w14:textId="77777777" w:rsidTr="00BC2089">
        <w:trPr>
          <w:cantSplit/>
          <w:tblHeader/>
        </w:trPr>
        <w:tc>
          <w:tcPr>
            <w:tcW w:w="12960" w:type="dxa"/>
            <w:gridSpan w:val="3"/>
            <w:tcBorders>
              <w:top w:val="nil"/>
              <w:left w:val="nil"/>
              <w:right w:val="nil"/>
            </w:tcBorders>
          </w:tcPr>
          <w:p w14:paraId="2F696725" w14:textId="2D42830B" w:rsidR="007E3462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A1. Comparative Effectiveness Reviews sele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>cted for utilization monitoring (continued)</w:t>
            </w:r>
          </w:p>
        </w:tc>
      </w:tr>
      <w:tr w:rsidR="007E3462" w:rsidRPr="000B7EE6" w14:paraId="409A150B" w14:textId="77777777" w:rsidTr="00252CAC">
        <w:trPr>
          <w:cantSplit/>
        </w:trPr>
        <w:tc>
          <w:tcPr>
            <w:tcW w:w="6176" w:type="dxa"/>
          </w:tcPr>
          <w:p w14:paraId="33E61F0C" w14:textId="6EE40526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Report Citation</w:t>
            </w:r>
          </w:p>
        </w:tc>
        <w:tc>
          <w:tcPr>
            <w:tcW w:w="1037" w:type="dxa"/>
          </w:tcPr>
          <w:p w14:paraId="1E41EE98" w14:textId="3CA66257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Selection Reason</w:t>
            </w:r>
          </w:p>
        </w:tc>
        <w:tc>
          <w:tcPr>
            <w:tcW w:w="5747" w:type="dxa"/>
          </w:tcPr>
          <w:p w14:paraId="626B11E3" w14:textId="56176DDC" w:rsidR="007E3462" w:rsidRDefault="007E3462" w:rsidP="00BC2089">
            <w:pPr>
              <w:jc w:val="center"/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Journal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rticle(s);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omments</w:t>
            </w:r>
          </w:p>
        </w:tc>
      </w:tr>
      <w:tr w:rsidR="007E3462" w:rsidRPr="000B7EE6" w14:paraId="123B9332" w14:textId="77777777" w:rsidTr="00252CAC">
        <w:trPr>
          <w:cantSplit/>
        </w:trPr>
        <w:tc>
          <w:tcPr>
            <w:tcW w:w="6176" w:type="dxa"/>
          </w:tcPr>
          <w:p w14:paraId="721CBBBA" w14:textId="7C3503DD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Butler M, Bliss D,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Drekonja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Filice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G, Rector T, MacDonald R, Wilt T. Effectiveness of Early Diagnosis, Prevention, and Treatment of </w:t>
            </w:r>
            <w:r w:rsidRPr="000B7EE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Clostridium difficile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Infection. Comparative Effectiveness Review No. 31. (Prepared by the Minnesota Evidence-based Practice Center under Contract No. 290-02-0009.) AHRQ Publication No. 11(12)-EHC051-EF. Rockville, MD: Agency for Healthcare Research and Quality. December 2011.</w:t>
            </w:r>
          </w:p>
        </w:tc>
        <w:tc>
          <w:tcPr>
            <w:tcW w:w="1037" w:type="dxa"/>
          </w:tcPr>
          <w:p w14:paraId="535AC8B4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5CD27E13" w14:textId="1A750552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Drekonja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DM, Butler M, MacDonald R, et al. Comparative effectiveness of Clostridium difficile treatments: a systematic review. Ann Intern Med. 2011 Dec 20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;155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(12):839-47. PMID 22184691.</w:t>
            </w:r>
          </w:p>
        </w:tc>
      </w:tr>
      <w:tr w:rsidR="007E3462" w:rsidRPr="000B7EE6" w14:paraId="5B41F16F" w14:textId="77777777" w:rsidTr="00252CAC">
        <w:trPr>
          <w:cantSplit/>
        </w:trPr>
        <w:tc>
          <w:tcPr>
            <w:tcW w:w="6176" w:type="dxa"/>
          </w:tcPr>
          <w:p w14:paraId="128A950C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Gartlehner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G, Hansen RA, Morgan LC,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Thaler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K, Lux LJ, Van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Noord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Mager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U,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Gaynes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BN,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Thieda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P,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Strobelberger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M, Lloyd S,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Reichenpfader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U,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Lohr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KN. Second-Generation Antidepressants in the Pharmacologic Treatment of Adult Depression: An Update of the 2007 Comparative Effectiveness Review. (Prepared by the RTI International–University of North Carolina Evidence-based Practice Center, Contract No. 290-2007-10056-I.) AHRQ Publication No. 12-EHC012-EF. Rockville, MD: Agency for Healthcare Research and Quality. December 2011.</w:t>
            </w:r>
          </w:p>
        </w:tc>
        <w:tc>
          <w:tcPr>
            <w:tcW w:w="1037" w:type="dxa"/>
          </w:tcPr>
          <w:p w14:paraId="6984A375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207F9EE4" w14:textId="1659DA1B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Gartlehner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G, Hansen RA, Morgan LC, et al. Comparative benefits and harms of second-generation antidepressants for treating major depressive disorder: an updated meta-analysis. Ann Intern Med. 2011 Dec 6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;155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(11):772-85. PMID 22147715.</w:t>
            </w:r>
          </w:p>
          <w:p w14:paraId="5AFF4D12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F3C86E1" w14:textId="77777777" w:rsidR="007E3462" w:rsidRPr="000B7EE6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Thaler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KJ, Morgan LC, Van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Noord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M, et al. Comparative effectiveness of second-generation antidepressants for accompanying anxiety, insomnia, and pain in depressed patients. Depression and anxiety. 2012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;29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(6):495-505.</w:t>
            </w:r>
          </w:p>
          <w:p w14:paraId="200F2953" w14:textId="77777777" w:rsidR="007E3462" w:rsidRPr="000B7EE6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</w:p>
          <w:p w14:paraId="00B128DA" w14:textId="77777777" w:rsidR="007E3462" w:rsidRPr="000B7EE6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Morgan L,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Gartlehner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G. Comparative efficacy, effectiveness and harms of second-generation antidepressants in the pharmacologic treatment of adult depression. European Psychiatry. 2011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;26:1266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.</w:t>
            </w:r>
          </w:p>
          <w:p w14:paraId="2778E28D" w14:textId="77777777" w:rsidR="007E3462" w:rsidRPr="000B7EE6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</w:p>
          <w:p w14:paraId="63980D45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Morgan L,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Gartlehner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G. Comparative benefits and harms of second-generation antidepressants in the pharmacologic treatment of depression in older adults and populations with comorbid conditions. European Psychiatry. 2012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;27:1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.</w:t>
            </w:r>
          </w:p>
        </w:tc>
      </w:tr>
    </w:tbl>
    <w:p w14:paraId="63AAF8FD" w14:textId="77777777" w:rsidR="007E3462" w:rsidRDefault="007E3462">
      <w:r>
        <w:br w:type="page"/>
      </w:r>
    </w:p>
    <w:tbl>
      <w:tblPr>
        <w:tblStyle w:val="TableGrid11"/>
        <w:tblW w:w="12960" w:type="dxa"/>
        <w:tblLayout w:type="fixed"/>
        <w:tblLook w:val="04A0" w:firstRow="1" w:lastRow="0" w:firstColumn="1" w:lastColumn="0" w:noHBand="0" w:noVBand="1"/>
      </w:tblPr>
      <w:tblGrid>
        <w:gridCol w:w="6176"/>
        <w:gridCol w:w="1037"/>
        <w:gridCol w:w="5747"/>
      </w:tblGrid>
      <w:tr w:rsidR="007E3462" w:rsidRPr="000B7EE6" w14:paraId="100F014C" w14:textId="77777777" w:rsidTr="00BC2089">
        <w:trPr>
          <w:cantSplit/>
        </w:trPr>
        <w:tc>
          <w:tcPr>
            <w:tcW w:w="12960" w:type="dxa"/>
            <w:gridSpan w:val="3"/>
            <w:tcBorders>
              <w:top w:val="nil"/>
              <w:left w:val="nil"/>
              <w:right w:val="nil"/>
            </w:tcBorders>
          </w:tcPr>
          <w:p w14:paraId="10866CF7" w14:textId="473D3D7A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A1. Comparative Effectiveness Reviews sele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>cted for utilization monitoring (continued)</w:t>
            </w:r>
          </w:p>
        </w:tc>
      </w:tr>
      <w:tr w:rsidR="007E3462" w:rsidRPr="000B7EE6" w14:paraId="1F59C82C" w14:textId="77777777" w:rsidTr="00252CAC">
        <w:trPr>
          <w:cantSplit/>
        </w:trPr>
        <w:tc>
          <w:tcPr>
            <w:tcW w:w="6176" w:type="dxa"/>
          </w:tcPr>
          <w:p w14:paraId="380300BB" w14:textId="47136240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Report Citation</w:t>
            </w:r>
          </w:p>
        </w:tc>
        <w:tc>
          <w:tcPr>
            <w:tcW w:w="1037" w:type="dxa"/>
          </w:tcPr>
          <w:p w14:paraId="663FCAA4" w14:textId="4DACFAFB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Selection Reason</w:t>
            </w:r>
          </w:p>
        </w:tc>
        <w:tc>
          <w:tcPr>
            <w:tcW w:w="5747" w:type="dxa"/>
          </w:tcPr>
          <w:p w14:paraId="384DE512" w14:textId="00253ED6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Journal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rticle(s);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omments</w:t>
            </w:r>
          </w:p>
        </w:tc>
      </w:tr>
      <w:tr w:rsidR="007E3462" w:rsidRPr="000B7EE6" w14:paraId="730B51DD" w14:textId="77777777" w:rsidTr="00252CAC">
        <w:trPr>
          <w:cantSplit/>
        </w:trPr>
        <w:tc>
          <w:tcPr>
            <w:tcW w:w="6176" w:type="dxa"/>
          </w:tcPr>
          <w:p w14:paraId="0BD81DFF" w14:textId="60B6E639" w:rsidR="007E3462" w:rsidRPr="000B7EE6" w:rsidRDefault="007E3462" w:rsidP="000B7EE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2012 (9)</w:t>
            </w:r>
          </w:p>
        </w:tc>
        <w:tc>
          <w:tcPr>
            <w:tcW w:w="1037" w:type="dxa"/>
          </w:tcPr>
          <w:p w14:paraId="7D037DF9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0A04BE75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E3462" w:rsidRPr="000B7EE6" w14:paraId="562383D8" w14:textId="77777777" w:rsidTr="00252CAC">
        <w:trPr>
          <w:cantSplit/>
        </w:trPr>
        <w:tc>
          <w:tcPr>
            <w:tcW w:w="6176" w:type="dxa"/>
          </w:tcPr>
          <w:p w14:paraId="14507071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Seida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JC, Schouten JR,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Mousavi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SS, Hamm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Beaith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Vandermeer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B, Dryden DM,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Boylan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K, Newton AS, Carrey N. First- and Second-Generation Antipsychotics for Children and Young Adults. Comparative Effectiveness Review No. 39. (Prepared by the University of Alberta Evidence-based Practice Center under Contract No. 290-2007-10021.)  AHRQ Publication No. 11(12)-EHC077-EF. Rockville, MD. Agency for Healthcare Research and Quality. February 2012.</w:t>
            </w:r>
          </w:p>
        </w:tc>
        <w:tc>
          <w:tcPr>
            <w:tcW w:w="1037" w:type="dxa"/>
          </w:tcPr>
          <w:p w14:paraId="6CF65AC4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4205087D" w14:textId="77D10EFC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Seida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JC, Schouten JR,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Boylan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K, et al. Antipsychotics for children and young adults: a comparative effectiveness review. Pediatrics. 2012 Mar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;129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(3):e771-84. PMID 22351885.</w:t>
            </w:r>
          </w:p>
        </w:tc>
      </w:tr>
      <w:tr w:rsidR="007E3462" w:rsidRPr="000B7EE6" w14:paraId="49FC586B" w14:textId="77777777" w:rsidTr="00252CAC">
        <w:trPr>
          <w:cantSplit/>
        </w:trPr>
        <w:tc>
          <w:tcPr>
            <w:tcW w:w="6176" w:type="dxa"/>
          </w:tcPr>
          <w:p w14:paraId="2B85C68B" w14:textId="2A38E2F8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Crandall CJ, Newberry SJ,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Gellad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WG,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Diamant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A, Lim YW,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Suttorp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Motala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A, Ewing B, Roth B,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Timmer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Shanman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R, Shekelle PG. Treatment to Prevent Fractures in Men and Women with Low Bone Density or Osteoporosis: Update of a 2007 Report. Comparative Effectiveness Review No. 53. (Prepared by Southern California Evidence-based Practice Center under Contract No. -290-2007-10062-I.) Rockville, MD: Agency for Healthcare Research and Quality; March 2012.</w:t>
            </w:r>
          </w:p>
        </w:tc>
        <w:tc>
          <w:tcPr>
            <w:tcW w:w="1037" w:type="dxa"/>
          </w:tcPr>
          <w:p w14:paraId="461E8A81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1CB43FB2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None identified</w:t>
            </w:r>
          </w:p>
        </w:tc>
      </w:tr>
      <w:tr w:rsidR="007E3462" w:rsidRPr="000B7EE6" w14:paraId="665E78E3" w14:textId="77777777" w:rsidTr="00252CAC">
        <w:trPr>
          <w:cantSplit/>
        </w:trPr>
        <w:tc>
          <w:tcPr>
            <w:tcW w:w="6176" w:type="dxa"/>
          </w:tcPr>
          <w:p w14:paraId="70D8E905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Donahue KE, Jonas DE, Hansen RA,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Roubey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R, Jonas B, Lux LJ,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Gartlehner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G, Harden E, Wilkins T,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Peravali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V,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Bangdiwala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SI, Yuen 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Thieda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P, Morgan LC,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Crotty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K, Desai R, Van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Noord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M. Drug Therapy for Rheumatoid Arthritis in Adults: An Update. Comparative Effectiveness Review No. 55. (Prepared by RTI-UNC Evidence-based Practice Center under Contract No. 290-02-0016-I.) Rockville, MD: Agency for Healthcare Research and Quality. April 2012.</w:t>
            </w:r>
          </w:p>
        </w:tc>
        <w:tc>
          <w:tcPr>
            <w:tcW w:w="1037" w:type="dxa"/>
          </w:tcPr>
          <w:p w14:paraId="4C705116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0BE3A4F8" w14:textId="77777777" w:rsidR="007E3462" w:rsidRPr="000B7EE6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Desai RJ, Hansen RA, Rao JK, et al. Mixed treatment comparison of the treatment discontinuations of biologic disease-modifying antirheumatic drugs in adults with rheumatoid arthritis. The Annals of pharmacotherapy. 2012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;46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(11):1491-505.</w:t>
            </w:r>
          </w:p>
          <w:p w14:paraId="373C67C1" w14:textId="77777777" w:rsidR="007E3462" w:rsidRPr="000B7EE6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</w:p>
          <w:p w14:paraId="7C0852D4" w14:textId="307CBFC0" w:rsidR="007E3462" w:rsidRPr="008A11C3" w:rsidRDefault="007E3462" w:rsidP="008A11C3">
            <w:pPr>
              <w:autoSpaceDE w:val="0"/>
              <w:autoSpaceDN w:val="0"/>
              <w:adjustRightInd w:val="0"/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Donahue KE, Jonas DE, Hansen RA, et al. Clinical and Self-Reported Scales and Instruments Commonly Used in Studies of Drug Therapy for Rheumatoid Arthritis and Psoriatic Arthritis. </w:t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>2012.</w:t>
            </w:r>
          </w:p>
        </w:tc>
      </w:tr>
      <w:tr w:rsidR="007E3462" w:rsidRPr="000B7EE6" w14:paraId="4E385FA8" w14:textId="77777777" w:rsidTr="00252CAC">
        <w:trPr>
          <w:cantSplit/>
        </w:trPr>
        <w:tc>
          <w:tcPr>
            <w:tcW w:w="6176" w:type="dxa"/>
          </w:tcPr>
          <w:p w14:paraId="51508FA1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Donahue KE, et al., Drug Therapy for Rheumatoid Arthritis in Adults: An Update. Comparative Effectiveness Review No. 55. (Prepared by RTI-UNC Evidence-based Practice Center under Contract No. 290-02-0016-I.) Rockville, MD: Agency for Healthcare Research and Quality. April 2012.</w:t>
            </w:r>
          </w:p>
        </w:tc>
        <w:tc>
          <w:tcPr>
            <w:tcW w:w="1037" w:type="dxa"/>
          </w:tcPr>
          <w:p w14:paraId="1AA2F44C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7882D528" w14:textId="77777777" w:rsidR="007E3462" w:rsidRPr="000B7EE6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None identified.</w:t>
            </w:r>
          </w:p>
        </w:tc>
      </w:tr>
      <w:tr w:rsidR="007E3462" w:rsidRPr="000B7EE6" w14:paraId="333C6325" w14:textId="77777777" w:rsidTr="00252CAC">
        <w:trPr>
          <w:cantSplit/>
        </w:trPr>
        <w:tc>
          <w:tcPr>
            <w:tcW w:w="6176" w:type="dxa"/>
          </w:tcPr>
          <w:p w14:paraId="63BAA119" w14:textId="6367FC83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Seely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D, Kanji S,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Yazdi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F,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Tetzlaff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J, Singh K,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Tsertsvadze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A, Sears ME,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Tricco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Ooi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Turek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Tsouros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S, Skidmore B, Daniel R, Ansari MT. Dietary Supplements in Adults Taking Cardiovascular Drugs. Comparative Effectiveness Review No. 51. (Prepared by the University of Ottawa Evidence-based Practice Center under Contract No.  290-2007-10059-I.) AHRQ Publication No. 12-EHC021-EF. Rockville, MD: Agency for Healthcare Research and Quality. April 2012</w:t>
            </w:r>
          </w:p>
        </w:tc>
        <w:tc>
          <w:tcPr>
            <w:tcW w:w="1037" w:type="dxa"/>
          </w:tcPr>
          <w:p w14:paraId="09C31999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19BE43D1" w14:textId="3FA1CED6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Kanji S,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Seely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D,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Yazdi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F, et al. Interactions of commonly used dietary supplements with cardiovascular drugs: a systematic review.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Syst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Rev. 2012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;1:26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. PMID 22651380.</w:t>
            </w:r>
          </w:p>
        </w:tc>
      </w:tr>
    </w:tbl>
    <w:p w14:paraId="7E160F74" w14:textId="77777777" w:rsidR="007E3462" w:rsidRDefault="007E3462">
      <w:r>
        <w:br w:type="page"/>
      </w:r>
    </w:p>
    <w:tbl>
      <w:tblPr>
        <w:tblStyle w:val="TableGrid11"/>
        <w:tblW w:w="12960" w:type="dxa"/>
        <w:tblLayout w:type="fixed"/>
        <w:tblLook w:val="04A0" w:firstRow="1" w:lastRow="0" w:firstColumn="1" w:lastColumn="0" w:noHBand="0" w:noVBand="1"/>
      </w:tblPr>
      <w:tblGrid>
        <w:gridCol w:w="6176"/>
        <w:gridCol w:w="1037"/>
        <w:gridCol w:w="5747"/>
      </w:tblGrid>
      <w:tr w:rsidR="007E3462" w:rsidRPr="000B7EE6" w14:paraId="091DD950" w14:textId="77777777" w:rsidTr="00BC2089">
        <w:trPr>
          <w:cantSplit/>
        </w:trPr>
        <w:tc>
          <w:tcPr>
            <w:tcW w:w="12960" w:type="dxa"/>
            <w:gridSpan w:val="3"/>
            <w:tcBorders>
              <w:top w:val="nil"/>
              <w:left w:val="nil"/>
              <w:right w:val="nil"/>
            </w:tcBorders>
          </w:tcPr>
          <w:p w14:paraId="11EB40B3" w14:textId="5B61A19C" w:rsidR="007E3462" w:rsidRDefault="007E3462" w:rsidP="000B7EE6">
            <w:pPr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A1. Comparative Effectiveness Reviews sele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>cted for utilization monitoring (continued)</w:t>
            </w:r>
          </w:p>
        </w:tc>
      </w:tr>
      <w:tr w:rsidR="007E3462" w:rsidRPr="000B7EE6" w14:paraId="643C09AE" w14:textId="77777777" w:rsidTr="00252CAC">
        <w:trPr>
          <w:cantSplit/>
        </w:trPr>
        <w:tc>
          <w:tcPr>
            <w:tcW w:w="6176" w:type="dxa"/>
          </w:tcPr>
          <w:p w14:paraId="49201BC2" w14:textId="0435BAA3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Report Citation</w:t>
            </w:r>
          </w:p>
        </w:tc>
        <w:tc>
          <w:tcPr>
            <w:tcW w:w="1037" w:type="dxa"/>
          </w:tcPr>
          <w:p w14:paraId="6FD5AE33" w14:textId="1C45A85A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Selection Reason</w:t>
            </w:r>
          </w:p>
        </w:tc>
        <w:tc>
          <w:tcPr>
            <w:tcW w:w="5747" w:type="dxa"/>
          </w:tcPr>
          <w:p w14:paraId="7388DABA" w14:textId="375853D2" w:rsidR="007E3462" w:rsidRDefault="007E3462" w:rsidP="00BC2089">
            <w:pPr>
              <w:jc w:val="center"/>
              <w:rPr>
                <w:rFonts w:ascii="Plain Font" w:eastAsia="Calibri" w:hAnsi="Plain Font" w:cs="Plain Font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Journal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rticle(s);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omments</w:t>
            </w:r>
          </w:p>
        </w:tc>
      </w:tr>
      <w:tr w:rsidR="007E3462" w:rsidRPr="000B7EE6" w14:paraId="7AB4E6FE" w14:textId="77777777" w:rsidTr="00252CAC">
        <w:trPr>
          <w:cantSplit/>
        </w:trPr>
        <w:tc>
          <w:tcPr>
            <w:tcW w:w="6176" w:type="dxa"/>
            <w:vMerge w:val="restart"/>
          </w:tcPr>
          <w:p w14:paraId="2EB46174" w14:textId="2FE84E71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Shamliyan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T, Wyman J, Kane RL. Nonsurgical Treatments for Urinary Incontinence in Adult Women: Diagnosis and Comparative Effectiveness. Comparative Effectiveness Review No. 36. (Prepared by the University of Minnesota Evidence-based Practice Center under Contract No.  290-2007-10064-I.) AHRQ Publication No. 11(12)-EHC074- EF. Rockville, MD. Agency for Healthcare Research and Quality. April 2012.</w:t>
            </w:r>
          </w:p>
        </w:tc>
        <w:tc>
          <w:tcPr>
            <w:tcW w:w="1037" w:type="dxa"/>
            <w:vMerge w:val="restart"/>
          </w:tcPr>
          <w:p w14:paraId="590B5EE7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MN</w:t>
            </w:r>
          </w:p>
        </w:tc>
        <w:tc>
          <w:tcPr>
            <w:tcW w:w="5747" w:type="dxa"/>
          </w:tcPr>
          <w:p w14:paraId="2444B3DD" w14:textId="0C545FB3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Shamliyan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T, Wyman JF,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Ramakrishnan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R, et al. Benefits and harms of pharmacologic treatment for urinary incontinence in women: a systematic review. Ann Intern Med. 2012 Jun 19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;156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(12):861-74, W301-10. PMID 22711079</w:t>
            </w:r>
          </w:p>
        </w:tc>
      </w:tr>
      <w:tr w:rsidR="007E3462" w:rsidRPr="000B7EE6" w14:paraId="3E6F9302" w14:textId="77777777" w:rsidTr="00252CAC">
        <w:trPr>
          <w:cantSplit/>
        </w:trPr>
        <w:tc>
          <w:tcPr>
            <w:tcW w:w="6176" w:type="dxa"/>
            <w:vMerge/>
          </w:tcPr>
          <w:p w14:paraId="090EA9F2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129A4C35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446A55EF" w14:textId="3305E5E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Shamliyan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TA, Kane RL, Wyman J, et al. Results availability from clinical research of female urinary incontinence.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Neurourol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Urodyn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>. 2012 Jan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;31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(1):22-9. PMID 22038753.</w:t>
            </w:r>
          </w:p>
        </w:tc>
      </w:tr>
      <w:tr w:rsidR="007E3462" w:rsidRPr="000B7EE6" w14:paraId="3E692CA6" w14:textId="77777777" w:rsidTr="00252CAC">
        <w:trPr>
          <w:cantSplit/>
        </w:trPr>
        <w:tc>
          <w:tcPr>
            <w:tcW w:w="6176" w:type="dxa"/>
            <w:vMerge/>
          </w:tcPr>
          <w:p w14:paraId="59677DC1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725040A2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0BCC79CC" w14:textId="04519E59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Hong H, Carlin BP,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Shamliyan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TA, et al. Comparing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bayesian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frequentist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approaches for multiple outcome mixed treatment comparisons. Med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Decis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Making. 2013 Jul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;33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(5):702-14. PMID 23549384.</w:t>
            </w:r>
          </w:p>
        </w:tc>
      </w:tr>
      <w:tr w:rsidR="007E3462" w:rsidRPr="000B7EE6" w14:paraId="47B30287" w14:textId="77777777" w:rsidTr="00252CAC">
        <w:trPr>
          <w:cantSplit/>
        </w:trPr>
        <w:tc>
          <w:tcPr>
            <w:tcW w:w="6176" w:type="dxa"/>
            <w:vMerge w:val="restart"/>
          </w:tcPr>
          <w:p w14:paraId="63E2B637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Golden SH, Brown T,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Yeh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HC,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Maruthur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N,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Ranasinghe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P, Berger Z,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Suh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Y, Wilson LM,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Haberl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EB, Bass EB. Methods for Insulin Delivery and Glucose Monitoring: Comparative Effectiveness. Comparative Effectiveness Review No. 57. (Prepared by Johns Hopkins University Evidence-based Practice Center under Contract No. 290-2007-10061-I.) AHRQ Publication No. 12-EHC036-EF. Rockville, MD: Agency for Healthcare Research and Quality. July 2012.</w:t>
            </w:r>
          </w:p>
        </w:tc>
        <w:tc>
          <w:tcPr>
            <w:tcW w:w="1037" w:type="dxa"/>
            <w:vMerge w:val="restart"/>
          </w:tcPr>
          <w:p w14:paraId="0B755AFD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30304AD1" w14:textId="560BC864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Yeh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HC, Brown TT,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Maruthur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N, et al. Comparative effectiveness and safety of methods of insulin delivery and glucose monitoring for diabetes mellitus: a systematic review and meta-analysis. Ann Intern Med. 2012 Sep 4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;157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(5):336-47. PMID 22777524.</w:t>
            </w:r>
          </w:p>
        </w:tc>
      </w:tr>
      <w:tr w:rsidR="007E3462" w:rsidRPr="000B7EE6" w14:paraId="4C4E365D" w14:textId="77777777" w:rsidTr="00252CAC">
        <w:trPr>
          <w:cantSplit/>
        </w:trPr>
        <w:tc>
          <w:tcPr>
            <w:tcW w:w="6176" w:type="dxa"/>
            <w:vMerge/>
          </w:tcPr>
          <w:p w14:paraId="3974BD46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4E8E042A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3942A204" w14:textId="1D138B35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Golden SH, Sapir T. Methods for insulin delivery and glucose monitoring in diabetes: summary of a comparative effectiveness review. J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Manag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Care Pharm. 2012 Aug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;18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(6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Suppl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>):S1-17. PMID 22984955.</w:t>
            </w:r>
          </w:p>
        </w:tc>
      </w:tr>
      <w:tr w:rsidR="007E3462" w:rsidRPr="000B7EE6" w14:paraId="0EBB2583" w14:textId="77777777" w:rsidTr="00252CAC">
        <w:trPr>
          <w:cantSplit/>
          <w:trHeight w:val="1449"/>
        </w:trPr>
        <w:tc>
          <w:tcPr>
            <w:tcW w:w="6176" w:type="dxa"/>
          </w:tcPr>
          <w:p w14:paraId="6F886F7D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Hartling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L, Dryden DM, Guthrie A,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Muise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Vandermeer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B,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Aktary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WM,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Pasichnyk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Seida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JC, Donovan L. Screening and Diagnosing Gestational Diabetes Mellitus. Evidence Report/Technology Assessment No. 210. (Prepared by the University of Alberta Evidence-based Practice Center under Contract No. 290-2007-10021-I.) AHRQ Publication No. 12(13)-E021-EF. Rockville, MD: Agency for Healthcare Research and Quality. October 2012.</w:t>
            </w:r>
          </w:p>
        </w:tc>
        <w:tc>
          <w:tcPr>
            <w:tcW w:w="1037" w:type="dxa"/>
          </w:tcPr>
          <w:p w14:paraId="602A0937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 EPC CERs</w:t>
            </w:r>
          </w:p>
        </w:tc>
        <w:tc>
          <w:tcPr>
            <w:tcW w:w="5747" w:type="dxa"/>
          </w:tcPr>
          <w:p w14:paraId="57FC06E3" w14:textId="7B39549C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Donovan L,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Hartling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L, </w:t>
            </w:r>
            <w:proofErr w:type="spellStart"/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Muise</w:t>
            </w:r>
            <w:proofErr w:type="spellEnd"/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M, et al. Screening tests for gestational diabetes: a systematic review for the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u.s.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Preventive services task force. Ann Intern Med. 2013 Jul 16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;159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(2):115-22. PMID 23712349.</w:t>
            </w:r>
          </w:p>
          <w:p w14:paraId="7AA107F4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Hartling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L, Dryden DM, Guthrie A, et al. Benefits and Harms of Treating Gestational Diabetes Mellitus: A Systematic Review and Meta-analysis for the U.S. Preventive Services Task Force and the National Institutes of Health Office of Medical Applications of Research. Ann Intern Med. 2013 Jul 16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;159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(2):123-9. PMID 23712381.</w:t>
            </w:r>
          </w:p>
        </w:tc>
      </w:tr>
      <w:tr w:rsidR="007E3462" w:rsidRPr="000B7EE6" w14:paraId="6D5678A4" w14:textId="77777777" w:rsidTr="00252CAC">
        <w:trPr>
          <w:cantSplit/>
        </w:trPr>
        <w:tc>
          <w:tcPr>
            <w:tcW w:w="6176" w:type="dxa"/>
          </w:tcPr>
          <w:p w14:paraId="3C9ACE75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Shamliyan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TA, Wang S-Y, Olson-Kellogg B, Kane RL. Physical Therapy Interventions for Knee Pain Secondary to Osteoarthritis. Comparative Effectiveness Review No.77. (Prepared by the Minnesota Evidence-based Practice Center under Contract No. 290-2007-10064-I.) AHRQ Publication No. 12(13)-EHC115-EF. Rockville, MD: Agency for Healthcare Research and Quality; November 2012.</w:t>
            </w:r>
          </w:p>
        </w:tc>
        <w:tc>
          <w:tcPr>
            <w:tcW w:w="1037" w:type="dxa"/>
          </w:tcPr>
          <w:p w14:paraId="19EF3D5E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MN</w:t>
            </w:r>
          </w:p>
        </w:tc>
        <w:tc>
          <w:tcPr>
            <w:tcW w:w="5747" w:type="dxa"/>
          </w:tcPr>
          <w:p w14:paraId="0A11F0FB" w14:textId="1933FF03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Wang SY, Olson-Kellogg B,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Shamliyan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TA, et al. Physical therapy interventions for knee pain secondary to osteoarthritis: a systematic review. Ann Intern Med. 2012 Nov 6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;157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(9):632-44. PMID 23128863.</w:t>
            </w:r>
          </w:p>
        </w:tc>
      </w:tr>
      <w:tr w:rsidR="007E3462" w:rsidRPr="000B7EE6" w14:paraId="395986AD" w14:textId="77777777" w:rsidTr="00252CAC">
        <w:trPr>
          <w:cantSplit/>
        </w:trPr>
        <w:tc>
          <w:tcPr>
            <w:tcW w:w="6176" w:type="dxa"/>
          </w:tcPr>
          <w:p w14:paraId="295F12E8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Wilt TJ, MacDonald R, Ouellette J,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Tacklind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J, Khawaja I,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Rutks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I, Butler M, Fink HA. Treatment for Restless Legs Syndrome. Comparative Effectiveness Review No. 86. (Prepared by the Minnesota Evidence-based Practice Center under Contract No. 290-2007-10064-I.) AHRQ Publication No. 12(13)-EHC147-EF. Rockville, MD: Agency for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HealthcareResearch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and Quality. November 2012.</w:t>
            </w:r>
          </w:p>
        </w:tc>
        <w:tc>
          <w:tcPr>
            <w:tcW w:w="1037" w:type="dxa"/>
          </w:tcPr>
          <w:p w14:paraId="3F651457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MN</w:t>
            </w:r>
          </w:p>
        </w:tc>
        <w:tc>
          <w:tcPr>
            <w:tcW w:w="5747" w:type="dxa"/>
          </w:tcPr>
          <w:p w14:paraId="1C63BD15" w14:textId="3DA054A1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>Wilt TJ, MacDonald R, Ouellette J, et al. Pharmacologic therapy for primary restless legs syndrome: a systematic review and meta-analysis. JAMA Intern Med. 2013 Apr 8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;173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(7):496-505. PMID 23460396.</w:t>
            </w:r>
          </w:p>
        </w:tc>
      </w:tr>
    </w:tbl>
    <w:p w14:paraId="23E3C514" w14:textId="77777777" w:rsidR="007E3462" w:rsidRDefault="007E3462">
      <w:r>
        <w:br w:type="page"/>
      </w:r>
    </w:p>
    <w:tbl>
      <w:tblPr>
        <w:tblStyle w:val="TableGrid11"/>
        <w:tblW w:w="12960" w:type="dxa"/>
        <w:tblLayout w:type="fixed"/>
        <w:tblLook w:val="04A0" w:firstRow="1" w:lastRow="0" w:firstColumn="1" w:lastColumn="0" w:noHBand="0" w:noVBand="1"/>
      </w:tblPr>
      <w:tblGrid>
        <w:gridCol w:w="6176"/>
        <w:gridCol w:w="1037"/>
        <w:gridCol w:w="5747"/>
      </w:tblGrid>
      <w:tr w:rsidR="007E3462" w:rsidRPr="000B7EE6" w14:paraId="6429839A" w14:textId="77777777" w:rsidTr="00BC2089">
        <w:trPr>
          <w:cantSplit/>
        </w:trPr>
        <w:tc>
          <w:tcPr>
            <w:tcW w:w="12960" w:type="dxa"/>
            <w:gridSpan w:val="3"/>
            <w:tcBorders>
              <w:top w:val="nil"/>
              <w:left w:val="nil"/>
              <w:right w:val="nil"/>
            </w:tcBorders>
          </w:tcPr>
          <w:p w14:paraId="3517912F" w14:textId="0DFB9EA2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A1. Comparative Effectiveness Reviews sele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>cted for utilization monitoring (continued)</w:t>
            </w:r>
          </w:p>
        </w:tc>
      </w:tr>
      <w:tr w:rsidR="007E3462" w:rsidRPr="000B7EE6" w14:paraId="1C419D97" w14:textId="77777777" w:rsidTr="00252CAC">
        <w:trPr>
          <w:cantSplit/>
        </w:trPr>
        <w:tc>
          <w:tcPr>
            <w:tcW w:w="6176" w:type="dxa"/>
          </w:tcPr>
          <w:p w14:paraId="68D93D89" w14:textId="51026711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Report Citation</w:t>
            </w:r>
          </w:p>
        </w:tc>
        <w:tc>
          <w:tcPr>
            <w:tcW w:w="1037" w:type="dxa"/>
          </w:tcPr>
          <w:p w14:paraId="711A9DA3" w14:textId="6438E671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Selection Reason</w:t>
            </w:r>
          </w:p>
        </w:tc>
        <w:tc>
          <w:tcPr>
            <w:tcW w:w="5747" w:type="dxa"/>
          </w:tcPr>
          <w:p w14:paraId="251E737F" w14:textId="75ED7323" w:rsidR="007E3462" w:rsidRPr="000B7EE6" w:rsidRDefault="007E3462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Journal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rticle(s);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omments</w:t>
            </w:r>
          </w:p>
        </w:tc>
      </w:tr>
      <w:tr w:rsidR="007E3462" w:rsidRPr="000B7EE6" w14:paraId="62F3B53F" w14:textId="77777777" w:rsidTr="00252CAC">
        <w:trPr>
          <w:cantSplit/>
        </w:trPr>
        <w:tc>
          <w:tcPr>
            <w:tcW w:w="6176" w:type="dxa"/>
          </w:tcPr>
          <w:p w14:paraId="3A906F98" w14:textId="529471EF" w:rsidR="007E3462" w:rsidRPr="000B7EE6" w:rsidRDefault="007E3462" w:rsidP="000B7EE6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2013 (1)</w:t>
            </w:r>
          </w:p>
        </w:tc>
        <w:tc>
          <w:tcPr>
            <w:tcW w:w="1037" w:type="dxa"/>
          </w:tcPr>
          <w:p w14:paraId="5215DE67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2C01FA7F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E3462" w:rsidRPr="000B7EE6" w14:paraId="53A22125" w14:textId="77777777" w:rsidTr="00252CAC">
        <w:trPr>
          <w:cantSplit/>
        </w:trPr>
        <w:tc>
          <w:tcPr>
            <w:tcW w:w="6176" w:type="dxa"/>
            <w:vMerge w:val="restart"/>
          </w:tcPr>
          <w:p w14:paraId="3A7D2D4B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Lin SY,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Erekosima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N, Suarez-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Cuervo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Ramanathan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M, Kim JM, Ward D,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Chelladurai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Y, Segal JB. Allergen-Specific Immunotherapy for the Treatment of Allergic Rhinoconjunctivitis and/or Asthma: Comparative Effectiveness Review. Comparative Effectiveness Review No. 111. (Prepared by the Johns Hopkins University Evidence-based Practice Center under Contract No. 290-2007-10061-I.) AHRQ Publication No. 13-EHC061-EF. Rockville, MD: Agency for Healthcare Research and Quality. March 2013. Errata added May and August 2013.</w:t>
            </w:r>
          </w:p>
        </w:tc>
        <w:tc>
          <w:tcPr>
            <w:tcW w:w="1037" w:type="dxa"/>
            <w:vMerge w:val="restart"/>
          </w:tcPr>
          <w:p w14:paraId="6F3F764D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Web Utilization Project</w:t>
            </w:r>
          </w:p>
        </w:tc>
        <w:tc>
          <w:tcPr>
            <w:tcW w:w="5747" w:type="dxa"/>
          </w:tcPr>
          <w:p w14:paraId="70AA62ED" w14:textId="4ADB7629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Erekosima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N, Suarez-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Cuervo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C,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Ramanathan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M, et al. Effectiveness of subcutaneous immunotherapy for allergic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rhinoconjunctivitis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and asthma: A Systematic Review. Laryngoscope. 2013 Jul 6PMID 23832632.</w:t>
            </w:r>
          </w:p>
        </w:tc>
      </w:tr>
      <w:tr w:rsidR="007E3462" w:rsidRPr="000B7EE6" w14:paraId="492C4EC9" w14:textId="77777777" w:rsidTr="00252CAC">
        <w:trPr>
          <w:cantSplit/>
        </w:trPr>
        <w:tc>
          <w:tcPr>
            <w:tcW w:w="6176" w:type="dxa"/>
            <w:vMerge/>
          </w:tcPr>
          <w:p w14:paraId="0DDE7CCF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2B66C80C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21154CB4" w14:textId="6050DC48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>Kim JM, Lin SY, Suarez-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Cuervo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C, et al. Allergen-specific immunotherapy for pediatric asthma and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rhinoconjunctivitis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>: a systematic review. Pediatrics. 2013 Jun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;131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(6):1155-67. PMID 23650298.</w:t>
            </w:r>
          </w:p>
        </w:tc>
      </w:tr>
      <w:tr w:rsidR="007E3462" w:rsidRPr="000B7EE6" w14:paraId="152F9418" w14:textId="77777777" w:rsidTr="00252CAC">
        <w:trPr>
          <w:cantSplit/>
        </w:trPr>
        <w:tc>
          <w:tcPr>
            <w:tcW w:w="6176" w:type="dxa"/>
            <w:vMerge/>
          </w:tcPr>
          <w:p w14:paraId="43D7541B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36C2568B" w14:textId="77777777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47" w:type="dxa"/>
          </w:tcPr>
          <w:p w14:paraId="587ED7F4" w14:textId="6EE62D23" w:rsidR="007E3462" w:rsidRPr="000B7EE6" w:rsidRDefault="007E3462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Lin SY,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Erekosima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N, Kim JM, et al. Sublingual immunotherapy for the treatment of allergic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rhinoconjunctivitis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and asthma: a systematic review. JAMA. 2013 Mar 27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;309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(12):1278-88. PMID 23532243.</w:t>
            </w:r>
          </w:p>
        </w:tc>
      </w:tr>
    </w:tbl>
    <w:p w14:paraId="5D511823" w14:textId="77777777" w:rsidR="000B7EE6" w:rsidRPr="000B7EE6" w:rsidRDefault="000B7EE6" w:rsidP="000B7EE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6D7878A" w14:textId="77777777" w:rsidR="000B7EE6" w:rsidRPr="008A11C3" w:rsidRDefault="000B7EE6" w:rsidP="00571D14">
      <w:pPr>
        <w:pStyle w:val="ChapterHeading"/>
        <w:rPr>
          <w:sz w:val="22"/>
          <w:szCs w:val="22"/>
        </w:rPr>
      </w:pPr>
    </w:p>
    <w:p w14:paraId="159B2860" w14:textId="77777777" w:rsidR="000B7EE6" w:rsidRPr="000B7EE6" w:rsidRDefault="000B7EE6" w:rsidP="00B332AE">
      <w:pPr>
        <w:keepNext/>
        <w:spacing w:after="60"/>
        <w:outlineLvl w:val="0"/>
      </w:pPr>
    </w:p>
    <w:sectPr w:rsidR="000B7EE6" w:rsidRPr="000B7EE6" w:rsidSect="0089466E">
      <w:footerReference w:type="default" r:id="rId9"/>
      <w:pgSz w:w="15840" w:h="12240" w:orient="landscape" w:code="1"/>
      <w:pgMar w:top="1440" w:right="1440" w:bottom="135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D1E0F" w15:done="0"/>
  <w15:commentEx w15:paraId="0FFF9C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11490" w14:textId="77777777" w:rsidR="00531285" w:rsidRDefault="00531285">
      <w:r>
        <w:separator/>
      </w:r>
    </w:p>
  </w:endnote>
  <w:endnote w:type="continuationSeparator" w:id="0">
    <w:p w14:paraId="1EFB6EEE" w14:textId="77777777" w:rsidR="00531285" w:rsidRDefault="0053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in 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BB7D" w14:textId="114746C0" w:rsidR="00E068E0" w:rsidRDefault="00B332AE">
    <w:pPr>
      <w:pStyle w:val="PageNumber"/>
    </w:pPr>
    <w:r>
      <w:t>A</w:t>
    </w:r>
    <w:r w:rsidR="00E068E0">
      <w:t>-</w:t>
    </w:r>
    <w:r w:rsidR="00E068E0">
      <w:fldChar w:fldCharType="begin"/>
    </w:r>
    <w:r w:rsidR="00E068E0">
      <w:instrText xml:space="preserve"> PAGE   \* MERGEFORMAT </w:instrText>
    </w:r>
    <w:r w:rsidR="00E068E0">
      <w:fldChar w:fldCharType="separate"/>
    </w:r>
    <w:r>
      <w:rPr>
        <w:noProof/>
      </w:rPr>
      <w:t>7</w:t>
    </w:r>
    <w:r w:rsidR="00E068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1D7D5" w14:textId="77777777" w:rsidR="00531285" w:rsidRDefault="00531285">
      <w:r>
        <w:separator/>
      </w:r>
    </w:p>
  </w:footnote>
  <w:footnote w:type="continuationSeparator" w:id="0">
    <w:p w14:paraId="1B5D8568" w14:textId="77777777" w:rsidR="00531285" w:rsidRDefault="0053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DE1"/>
    <w:multiLevelType w:val="hybridMultilevel"/>
    <w:tmpl w:val="FEE05C9A"/>
    <w:lvl w:ilvl="0" w:tplc="0142B57C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D00"/>
    <w:multiLevelType w:val="hybridMultilevel"/>
    <w:tmpl w:val="C5E8D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093B"/>
    <w:multiLevelType w:val="hybridMultilevel"/>
    <w:tmpl w:val="F74C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462"/>
    <w:multiLevelType w:val="hybridMultilevel"/>
    <w:tmpl w:val="2BF8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A24"/>
    <w:multiLevelType w:val="hybridMultilevel"/>
    <w:tmpl w:val="5F3AA83A"/>
    <w:lvl w:ilvl="0" w:tplc="70B8B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314FE"/>
    <w:multiLevelType w:val="hybridMultilevel"/>
    <w:tmpl w:val="0E5E8FC6"/>
    <w:lvl w:ilvl="0" w:tplc="D5328EBA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B7B2B"/>
    <w:multiLevelType w:val="hybridMultilevel"/>
    <w:tmpl w:val="EA3CC470"/>
    <w:lvl w:ilvl="0" w:tplc="64A0A6A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66DA"/>
    <w:multiLevelType w:val="hybridMultilevel"/>
    <w:tmpl w:val="938AB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14DE"/>
    <w:multiLevelType w:val="hybridMultilevel"/>
    <w:tmpl w:val="19BEF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7C52"/>
    <w:multiLevelType w:val="hybridMultilevel"/>
    <w:tmpl w:val="EFECCC16"/>
    <w:lvl w:ilvl="0" w:tplc="C7186F9A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EE4"/>
    <w:multiLevelType w:val="hybridMultilevel"/>
    <w:tmpl w:val="9094F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34EC4"/>
    <w:multiLevelType w:val="hybridMultilevel"/>
    <w:tmpl w:val="26A2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8073B"/>
    <w:multiLevelType w:val="hybridMultilevel"/>
    <w:tmpl w:val="20EC3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68C2"/>
    <w:multiLevelType w:val="hybridMultilevel"/>
    <w:tmpl w:val="EA2E6C28"/>
    <w:lvl w:ilvl="0" w:tplc="43E2837E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0"/>
  </w:num>
  <w:num w:numId="18">
    <w:abstractNumId w:val="19"/>
  </w:num>
  <w:num w:numId="19">
    <w:abstractNumId w:val="7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lyn Eells">
    <w15:presenceInfo w15:providerId="AD" w15:userId="S-1-5-21-1317685450-932939914-1801392649-65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wvr0e2n5tvzlevz01xrts1wavatf9farrt&quot;&gt;CER POC Utilization&lt;record-ids&gt;&lt;item&gt;71&lt;/item&gt;&lt;item&gt;72&lt;/item&gt;&lt;item&gt;135&lt;/item&gt;&lt;/record-ids&gt;&lt;/item&gt;&lt;/Libraries&gt;"/>
  </w:docVars>
  <w:rsids>
    <w:rsidRoot w:val="006F5130"/>
    <w:rsid w:val="00003CDD"/>
    <w:rsid w:val="00011CC8"/>
    <w:rsid w:val="000171EB"/>
    <w:rsid w:val="000416F1"/>
    <w:rsid w:val="00043EF2"/>
    <w:rsid w:val="0006017D"/>
    <w:rsid w:val="000658F0"/>
    <w:rsid w:val="00075F59"/>
    <w:rsid w:val="00080D51"/>
    <w:rsid w:val="00081848"/>
    <w:rsid w:val="00082D85"/>
    <w:rsid w:val="00082D90"/>
    <w:rsid w:val="000844D9"/>
    <w:rsid w:val="000850F6"/>
    <w:rsid w:val="0009453F"/>
    <w:rsid w:val="00096941"/>
    <w:rsid w:val="000B7EE6"/>
    <w:rsid w:val="000D54CA"/>
    <w:rsid w:val="00101E27"/>
    <w:rsid w:val="00120920"/>
    <w:rsid w:val="00132B29"/>
    <w:rsid w:val="00160147"/>
    <w:rsid w:val="0016619E"/>
    <w:rsid w:val="00167198"/>
    <w:rsid w:val="001745C4"/>
    <w:rsid w:val="00175BD9"/>
    <w:rsid w:val="0017667A"/>
    <w:rsid w:val="00183AAE"/>
    <w:rsid w:val="001C07DF"/>
    <w:rsid w:val="001C0861"/>
    <w:rsid w:val="001C4886"/>
    <w:rsid w:val="001D3EA4"/>
    <w:rsid w:val="001E6D3A"/>
    <w:rsid w:val="001F00D7"/>
    <w:rsid w:val="001F2734"/>
    <w:rsid w:val="001F5D30"/>
    <w:rsid w:val="00201F4B"/>
    <w:rsid w:val="002058EF"/>
    <w:rsid w:val="00205EF3"/>
    <w:rsid w:val="00206787"/>
    <w:rsid w:val="00213A30"/>
    <w:rsid w:val="00217B4E"/>
    <w:rsid w:val="002217BC"/>
    <w:rsid w:val="00225510"/>
    <w:rsid w:val="00225E93"/>
    <w:rsid w:val="002333F7"/>
    <w:rsid w:val="00234F65"/>
    <w:rsid w:val="0024184D"/>
    <w:rsid w:val="0024378C"/>
    <w:rsid w:val="002437B1"/>
    <w:rsid w:val="00252CAC"/>
    <w:rsid w:val="00263CC8"/>
    <w:rsid w:val="00275260"/>
    <w:rsid w:val="00283678"/>
    <w:rsid w:val="002844D3"/>
    <w:rsid w:val="002930EC"/>
    <w:rsid w:val="002965E1"/>
    <w:rsid w:val="002A09F0"/>
    <w:rsid w:val="002A7892"/>
    <w:rsid w:val="002A7A3B"/>
    <w:rsid w:val="002B718E"/>
    <w:rsid w:val="002C79D3"/>
    <w:rsid w:val="002D0310"/>
    <w:rsid w:val="002D339E"/>
    <w:rsid w:val="002D6C6C"/>
    <w:rsid w:val="002D7383"/>
    <w:rsid w:val="002E24D3"/>
    <w:rsid w:val="00314727"/>
    <w:rsid w:val="00314E8E"/>
    <w:rsid w:val="003319F4"/>
    <w:rsid w:val="00334953"/>
    <w:rsid w:val="0034558B"/>
    <w:rsid w:val="00345626"/>
    <w:rsid w:val="00345E7F"/>
    <w:rsid w:val="003662AB"/>
    <w:rsid w:val="00370668"/>
    <w:rsid w:val="00396601"/>
    <w:rsid w:val="003A111B"/>
    <w:rsid w:val="003F21BA"/>
    <w:rsid w:val="003F4F95"/>
    <w:rsid w:val="003F7E36"/>
    <w:rsid w:val="004006F5"/>
    <w:rsid w:val="0040239E"/>
    <w:rsid w:val="004041A8"/>
    <w:rsid w:val="00407ECC"/>
    <w:rsid w:val="00423E10"/>
    <w:rsid w:val="00433195"/>
    <w:rsid w:val="00443C7F"/>
    <w:rsid w:val="00444DBB"/>
    <w:rsid w:val="004511B7"/>
    <w:rsid w:val="004704E1"/>
    <w:rsid w:val="00480A2C"/>
    <w:rsid w:val="004903B0"/>
    <w:rsid w:val="004C587E"/>
    <w:rsid w:val="004D2F9B"/>
    <w:rsid w:val="004D4969"/>
    <w:rsid w:val="004D50AB"/>
    <w:rsid w:val="004E3C7A"/>
    <w:rsid w:val="004E47FB"/>
    <w:rsid w:val="004F032C"/>
    <w:rsid w:val="004F7A2B"/>
    <w:rsid w:val="00506905"/>
    <w:rsid w:val="00512E9C"/>
    <w:rsid w:val="00524262"/>
    <w:rsid w:val="00524C81"/>
    <w:rsid w:val="00525267"/>
    <w:rsid w:val="00531285"/>
    <w:rsid w:val="005437DE"/>
    <w:rsid w:val="0054535E"/>
    <w:rsid w:val="00554B49"/>
    <w:rsid w:val="00561296"/>
    <w:rsid w:val="005709C8"/>
    <w:rsid w:val="00571D14"/>
    <w:rsid w:val="005957E5"/>
    <w:rsid w:val="005A2319"/>
    <w:rsid w:val="005A4688"/>
    <w:rsid w:val="005A5A18"/>
    <w:rsid w:val="005A602C"/>
    <w:rsid w:val="005B3F29"/>
    <w:rsid w:val="005E3945"/>
    <w:rsid w:val="005E6717"/>
    <w:rsid w:val="005F5FB4"/>
    <w:rsid w:val="005F6688"/>
    <w:rsid w:val="00621A5F"/>
    <w:rsid w:val="00622558"/>
    <w:rsid w:val="0062294C"/>
    <w:rsid w:val="00644A62"/>
    <w:rsid w:val="006500EF"/>
    <w:rsid w:val="00680D98"/>
    <w:rsid w:val="00693BD6"/>
    <w:rsid w:val="00693E74"/>
    <w:rsid w:val="00694886"/>
    <w:rsid w:val="0069564B"/>
    <w:rsid w:val="006B4BFC"/>
    <w:rsid w:val="006C2A1D"/>
    <w:rsid w:val="006D3E3F"/>
    <w:rsid w:val="006D7C96"/>
    <w:rsid w:val="006E30CC"/>
    <w:rsid w:val="006E4D5E"/>
    <w:rsid w:val="006E5BAE"/>
    <w:rsid w:val="006F2C15"/>
    <w:rsid w:val="006F5130"/>
    <w:rsid w:val="0070083A"/>
    <w:rsid w:val="00711543"/>
    <w:rsid w:val="00731DC6"/>
    <w:rsid w:val="00736817"/>
    <w:rsid w:val="00736D03"/>
    <w:rsid w:val="00746B2B"/>
    <w:rsid w:val="007507DD"/>
    <w:rsid w:val="007517D0"/>
    <w:rsid w:val="00764CCB"/>
    <w:rsid w:val="00780602"/>
    <w:rsid w:val="0078079D"/>
    <w:rsid w:val="00790F13"/>
    <w:rsid w:val="007A616B"/>
    <w:rsid w:val="007C150E"/>
    <w:rsid w:val="007C24F5"/>
    <w:rsid w:val="007C538F"/>
    <w:rsid w:val="007D5D14"/>
    <w:rsid w:val="007D636F"/>
    <w:rsid w:val="007E31F3"/>
    <w:rsid w:val="007E3462"/>
    <w:rsid w:val="007F2512"/>
    <w:rsid w:val="0080457C"/>
    <w:rsid w:val="00805B40"/>
    <w:rsid w:val="0082352D"/>
    <w:rsid w:val="00832E69"/>
    <w:rsid w:val="008633D2"/>
    <w:rsid w:val="0087420D"/>
    <w:rsid w:val="00886127"/>
    <w:rsid w:val="0089466E"/>
    <w:rsid w:val="00895F5A"/>
    <w:rsid w:val="008A07F1"/>
    <w:rsid w:val="008A11C3"/>
    <w:rsid w:val="008F0C3C"/>
    <w:rsid w:val="008F0E65"/>
    <w:rsid w:val="008F2E49"/>
    <w:rsid w:val="008F5D0C"/>
    <w:rsid w:val="0090034C"/>
    <w:rsid w:val="00910027"/>
    <w:rsid w:val="00922827"/>
    <w:rsid w:val="009262E9"/>
    <w:rsid w:val="0092648D"/>
    <w:rsid w:val="00933864"/>
    <w:rsid w:val="00952C57"/>
    <w:rsid w:val="009619F9"/>
    <w:rsid w:val="00971952"/>
    <w:rsid w:val="0098219C"/>
    <w:rsid w:val="00984473"/>
    <w:rsid w:val="00984B55"/>
    <w:rsid w:val="0099129F"/>
    <w:rsid w:val="0099482F"/>
    <w:rsid w:val="009A22F6"/>
    <w:rsid w:val="009B2562"/>
    <w:rsid w:val="009B5F1B"/>
    <w:rsid w:val="009C39D5"/>
    <w:rsid w:val="009D23F1"/>
    <w:rsid w:val="009D5CE9"/>
    <w:rsid w:val="009E5CD4"/>
    <w:rsid w:val="00A03EF2"/>
    <w:rsid w:val="00A04E17"/>
    <w:rsid w:val="00A433AE"/>
    <w:rsid w:val="00A525BD"/>
    <w:rsid w:val="00A548C3"/>
    <w:rsid w:val="00A62EDB"/>
    <w:rsid w:val="00A646B0"/>
    <w:rsid w:val="00A64CD3"/>
    <w:rsid w:val="00A7193F"/>
    <w:rsid w:val="00A77361"/>
    <w:rsid w:val="00A77D78"/>
    <w:rsid w:val="00A961D1"/>
    <w:rsid w:val="00AB2381"/>
    <w:rsid w:val="00AD2396"/>
    <w:rsid w:val="00AD4DF6"/>
    <w:rsid w:val="00AE1F07"/>
    <w:rsid w:val="00AE2B5F"/>
    <w:rsid w:val="00AE5A5B"/>
    <w:rsid w:val="00AF62B5"/>
    <w:rsid w:val="00B01493"/>
    <w:rsid w:val="00B038D0"/>
    <w:rsid w:val="00B0687F"/>
    <w:rsid w:val="00B078F5"/>
    <w:rsid w:val="00B10D3D"/>
    <w:rsid w:val="00B1317C"/>
    <w:rsid w:val="00B1503A"/>
    <w:rsid w:val="00B166BC"/>
    <w:rsid w:val="00B17797"/>
    <w:rsid w:val="00B23899"/>
    <w:rsid w:val="00B332AE"/>
    <w:rsid w:val="00B45348"/>
    <w:rsid w:val="00B54EF9"/>
    <w:rsid w:val="00B96477"/>
    <w:rsid w:val="00BA2B23"/>
    <w:rsid w:val="00BA48E1"/>
    <w:rsid w:val="00BA55F2"/>
    <w:rsid w:val="00BA6EAD"/>
    <w:rsid w:val="00BB2D1D"/>
    <w:rsid w:val="00BB6E86"/>
    <w:rsid w:val="00BC2089"/>
    <w:rsid w:val="00BC64D2"/>
    <w:rsid w:val="00BC6F26"/>
    <w:rsid w:val="00BD14E9"/>
    <w:rsid w:val="00BD45A9"/>
    <w:rsid w:val="00BD5CDE"/>
    <w:rsid w:val="00BE3B51"/>
    <w:rsid w:val="00BF1F11"/>
    <w:rsid w:val="00BF5F0F"/>
    <w:rsid w:val="00C046C6"/>
    <w:rsid w:val="00C253BD"/>
    <w:rsid w:val="00C262CF"/>
    <w:rsid w:val="00C538A7"/>
    <w:rsid w:val="00C620E0"/>
    <w:rsid w:val="00C66765"/>
    <w:rsid w:val="00C67B72"/>
    <w:rsid w:val="00C70C62"/>
    <w:rsid w:val="00C75AD6"/>
    <w:rsid w:val="00C829C0"/>
    <w:rsid w:val="00C86AC8"/>
    <w:rsid w:val="00C97E24"/>
    <w:rsid w:val="00C97F61"/>
    <w:rsid w:val="00CA0EDB"/>
    <w:rsid w:val="00CA742B"/>
    <w:rsid w:val="00CB0F8A"/>
    <w:rsid w:val="00CB48D5"/>
    <w:rsid w:val="00CC39F0"/>
    <w:rsid w:val="00CC486E"/>
    <w:rsid w:val="00CD4325"/>
    <w:rsid w:val="00CD68AD"/>
    <w:rsid w:val="00CE23E3"/>
    <w:rsid w:val="00CF43DC"/>
    <w:rsid w:val="00CF5250"/>
    <w:rsid w:val="00CF5B6E"/>
    <w:rsid w:val="00D10A6F"/>
    <w:rsid w:val="00D32579"/>
    <w:rsid w:val="00D4375A"/>
    <w:rsid w:val="00D47C4A"/>
    <w:rsid w:val="00D50DBC"/>
    <w:rsid w:val="00D521C4"/>
    <w:rsid w:val="00D710F4"/>
    <w:rsid w:val="00D77314"/>
    <w:rsid w:val="00D853F1"/>
    <w:rsid w:val="00D86A99"/>
    <w:rsid w:val="00D90B24"/>
    <w:rsid w:val="00D93203"/>
    <w:rsid w:val="00D97328"/>
    <w:rsid w:val="00DA0B96"/>
    <w:rsid w:val="00DC086C"/>
    <w:rsid w:val="00DC2450"/>
    <w:rsid w:val="00DC7245"/>
    <w:rsid w:val="00DD3873"/>
    <w:rsid w:val="00DE43B7"/>
    <w:rsid w:val="00DF1D50"/>
    <w:rsid w:val="00E0163A"/>
    <w:rsid w:val="00E0376C"/>
    <w:rsid w:val="00E068E0"/>
    <w:rsid w:val="00E07F17"/>
    <w:rsid w:val="00E1616F"/>
    <w:rsid w:val="00E16A95"/>
    <w:rsid w:val="00E222F4"/>
    <w:rsid w:val="00E25178"/>
    <w:rsid w:val="00E40C38"/>
    <w:rsid w:val="00E41880"/>
    <w:rsid w:val="00E442E3"/>
    <w:rsid w:val="00E525A6"/>
    <w:rsid w:val="00E54004"/>
    <w:rsid w:val="00EA488E"/>
    <w:rsid w:val="00EB5922"/>
    <w:rsid w:val="00ED7750"/>
    <w:rsid w:val="00EE1018"/>
    <w:rsid w:val="00EE4ACC"/>
    <w:rsid w:val="00EF754B"/>
    <w:rsid w:val="00F21304"/>
    <w:rsid w:val="00F22542"/>
    <w:rsid w:val="00F37CC3"/>
    <w:rsid w:val="00F46B31"/>
    <w:rsid w:val="00F50C61"/>
    <w:rsid w:val="00F56A6C"/>
    <w:rsid w:val="00F6437E"/>
    <w:rsid w:val="00F671D3"/>
    <w:rsid w:val="00F9258E"/>
    <w:rsid w:val="00F936C9"/>
    <w:rsid w:val="00FA1D6F"/>
    <w:rsid w:val="00FA20DA"/>
    <w:rsid w:val="00FA63F7"/>
    <w:rsid w:val="00FA789D"/>
    <w:rsid w:val="00FC520A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A7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C8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80D5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345E7F"/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A77D78"/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bidi="he-IL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C2A1D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92648D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984B55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C2A1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A1D"/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2A1D"/>
    <w:rPr>
      <w:sz w:val="16"/>
      <w:szCs w:val="16"/>
    </w:rPr>
  </w:style>
  <w:style w:type="paragraph" w:styleId="CommentText">
    <w:name w:val="annotation text"/>
    <w:basedOn w:val="Normal"/>
    <w:semiHidden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A77D7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C97F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qFormat/>
    <w:rsid w:val="008A07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Subhead">
    <w:name w:val="TableSubhead"/>
    <w:qFormat/>
    <w:rsid w:val="005F5FB4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5F5FB4"/>
    <w:rPr>
      <w:rFonts w:ascii="Arial" w:hAnsi="Arial" w:cs="Arial"/>
      <w:sz w:val="18"/>
      <w:szCs w:val="18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5709C8"/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28"/>
    <w:rPr>
      <w:rFonts w:ascii="Times" w:eastAsia="Times New Roman" w:hAnsi="Times"/>
      <w:sz w:val="24"/>
    </w:rPr>
  </w:style>
  <w:style w:type="character" w:styleId="Hyperlink">
    <w:name w:val="Hyperlink"/>
    <w:basedOn w:val="DefaultParagraphFont"/>
    <w:uiPriority w:val="99"/>
    <w:rsid w:val="0099129F"/>
    <w:rPr>
      <w:color w:val="0000FF"/>
      <w:u w:val="single"/>
    </w:rPr>
  </w:style>
  <w:style w:type="paragraph" w:customStyle="1" w:styleId="BodyText">
    <w:name w:val="BodyText"/>
    <w:basedOn w:val="Normal"/>
    <w:link w:val="BodyTextChar"/>
    <w:rsid w:val="0099129F"/>
    <w:pPr>
      <w:spacing w:after="120"/>
    </w:pPr>
  </w:style>
  <w:style w:type="character" w:customStyle="1" w:styleId="BodyTextChar">
    <w:name w:val="BodyText Char"/>
    <w:basedOn w:val="DefaultParagraphFont"/>
    <w:link w:val="BodyText"/>
    <w:rsid w:val="0099129F"/>
    <w:rPr>
      <w:rFonts w:ascii="Times" w:eastAsia="Times New Roman" w:hAnsi="Times"/>
      <w:sz w:val="24"/>
    </w:rPr>
  </w:style>
  <w:style w:type="table" w:customStyle="1" w:styleId="TableGrid10">
    <w:name w:val="Table Grid10"/>
    <w:basedOn w:val="TableNormal"/>
    <w:next w:val="TableGrid"/>
    <w:uiPriority w:val="59"/>
    <w:rsid w:val="00D50D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45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6C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RQBODYTEXT">
    <w:name w:val="AHRQ BODY TEXT"/>
    <w:basedOn w:val="Normal"/>
    <w:link w:val="AHRQBODYTEXTChar"/>
    <w:rsid w:val="00314E8E"/>
    <w:pPr>
      <w:ind w:firstLine="360"/>
    </w:pPr>
    <w:rPr>
      <w:rFonts w:eastAsia="Times"/>
    </w:rPr>
  </w:style>
  <w:style w:type="character" w:customStyle="1" w:styleId="AHRQBODYTEXTChar">
    <w:name w:val="AHRQ BODY TEXT Char"/>
    <w:basedOn w:val="DefaultParagraphFont"/>
    <w:link w:val="AHRQBODYTEXT"/>
    <w:rsid w:val="00314E8E"/>
    <w:rPr>
      <w:rFonts w:ascii="Times" w:eastAsia="Times" w:hAnsi="Times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068E0"/>
    <w:pPr>
      <w:tabs>
        <w:tab w:val="right" w:leader="dot" w:pos="9350"/>
      </w:tabs>
      <w:ind w:left="475"/>
    </w:pPr>
  </w:style>
  <w:style w:type="paragraph" w:styleId="Revision">
    <w:name w:val="Revision"/>
    <w:hidden/>
    <w:uiPriority w:val="99"/>
    <w:semiHidden/>
    <w:rsid w:val="005A602C"/>
    <w:rPr>
      <w:rFonts w:ascii="Times" w:eastAsia="Times New Roman" w:hAnsi="Times"/>
      <w:sz w:val="24"/>
    </w:rPr>
  </w:style>
  <w:style w:type="character" w:styleId="Emphasis">
    <w:name w:val="Emphasis"/>
    <w:basedOn w:val="DefaultParagraphFont"/>
    <w:uiPriority w:val="20"/>
    <w:qFormat/>
    <w:rsid w:val="00AD2396"/>
    <w:rPr>
      <w:i/>
      <w:iCs/>
    </w:rPr>
  </w:style>
  <w:style w:type="character" w:customStyle="1" w:styleId="apple-converted-space">
    <w:name w:val="apple-converted-space"/>
    <w:basedOn w:val="DefaultParagraphFont"/>
    <w:rsid w:val="00AD2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C8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80D5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345E7F"/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A77D78"/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bidi="he-IL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C2A1D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92648D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984B55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C2A1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A1D"/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2A1D"/>
    <w:rPr>
      <w:sz w:val="16"/>
      <w:szCs w:val="16"/>
    </w:rPr>
  </w:style>
  <w:style w:type="paragraph" w:styleId="CommentText">
    <w:name w:val="annotation text"/>
    <w:basedOn w:val="Normal"/>
    <w:semiHidden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A77D7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C97F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qFormat/>
    <w:rsid w:val="008A07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Subhead">
    <w:name w:val="TableSubhead"/>
    <w:qFormat/>
    <w:rsid w:val="005F5FB4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5F5FB4"/>
    <w:rPr>
      <w:rFonts w:ascii="Arial" w:hAnsi="Arial" w:cs="Arial"/>
      <w:sz w:val="18"/>
      <w:szCs w:val="18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5709C8"/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28"/>
    <w:rPr>
      <w:rFonts w:ascii="Times" w:eastAsia="Times New Roman" w:hAnsi="Times"/>
      <w:sz w:val="24"/>
    </w:rPr>
  </w:style>
  <w:style w:type="character" w:styleId="Hyperlink">
    <w:name w:val="Hyperlink"/>
    <w:basedOn w:val="DefaultParagraphFont"/>
    <w:uiPriority w:val="99"/>
    <w:rsid w:val="0099129F"/>
    <w:rPr>
      <w:color w:val="0000FF"/>
      <w:u w:val="single"/>
    </w:rPr>
  </w:style>
  <w:style w:type="paragraph" w:customStyle="1" w:styleId="BodyText">
    <w:name w:val="BodyText"/>
    <w:basedOn w:val="Normal"/>
    <w:link w:val="BodyTextChar"/>
    <w:rsid w:val="0099129F"/>
    <w:pPr>
      <w:spacing w:after="120"/>
    </w:pPr>
  </w:style>
  <w:style w:type="character" w:customStyle="1" w:styleId="BodyTextChar">
    <w:name w:val="BodyText Char"/>
    <w:basedOn w:val="DefaultParagraphFont"/>
    <w:link w:val="BodyText"/>
    <w:rsid w:val="0099129F"/>
    <w:rPr>
      <w:rFonts w:ascii="Times" w:eastAsia="Times New Roman" w:hAnsi="Times"/>
      <w:sz w:val="24"/>
    </w:rPr>
  </w:style>
  <w:style w:type="table" w:customStyle="1" w:styleId="TableGrid10">
    <w:name w:val="Table Grid10"/>
    <w:basedOn w:val="TableNormal"/>
    <w:next w:val="TableGrid"/>
    <w:uiPriority w:val="59"/>
    <w:rsid w:val="00D50D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45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6C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RQBODYTEXT">
    <w:name w:val="AHRQ BODY TEXT"/>
    <w:basedOn w:val="Normal"/>
    <w:link w:val="AHRQBODYTEXTChar"/>
    <w:rsid w:val="00314E8E"/>
    <w:pPr>
      <w:ind w:firstLine="360"/>
    </w:pPr>
    <w:rPr>
      <w:rFonts w:eastAsia="Times"/>
    </w:rPr>
  </w:style>
  <w:style w:type="character" w:customStyle="1" w:styleId="AHRQBODYTEXTChar">
    <w:name w:val="AHRQ BODY TEXT Char"/>
    <w:basedOn w:val="DefaultParagraphFont"/>
    <w:link w:val="AHRQBODYTEXT"/>
    <w:rsid w:val="00314E8E"/>
    <w:rPr>
      <w:rFonts w:ascii="Times" w:eastAsia="Times" w:hAnsi="Times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068E0"/>
    <w:pPr>
      <w:tabs>
        <w:tab w:val="right" w:leader="dot" w:pos="9350"/>
      </w:tabs>
      <w:ind w:left="475"/>
    </w:pPr>
  </w:style>
  <w:style w:type="paragraph" w:styleId="Revision">
    <w:name w:val="Revision"/>
    <w:hidden/>
    <w:uiPriority w:val="99"/>
    <w:semiHidden/>
    <w:rsid w:val="005A602C"/>
    <w:rPr>
      <w:rFonts w:ascii="Times" w:eastAsia="Times New Roman" w:hAnsi="Times"/>
      <w:sz w:val="24"/>
    </w:rPr>
  </w:style>
  <w:style w:type="character" w:styleId="Emphasis">
    <w:name w:val="Emphasis"/>
    <w:basedOn w:val="DefaultParagraphFont"/>
    <w:uiPriority w:val="20"/>
    <w:qFormat/>
    <w:rsid w:val="00AD2396"/>
    <w:rPr>
      <w:i/>
      <w:iCs/>
    </w:rPr>
  </w:style>
  <w:style w:type="character" w:customStyle="1" w:styleId="apple-converted-space">
    <w:name w:val="apple-converted-space"/>
    <w:basedOn w:val="DefaultParagraphFont"/>
    <w:rsid w:val="00AD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DB29-B90A-4F31-AA63-125F1A6A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18316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DHHS</dc:creator>
  <cp:lastModifiedBy>Priyanka Pawar</cp:lastModifiedBy>
  <cp:revision>2</cp:revision>
  <cp:lastPrinted>2014-04-25T15:06:00Z</cp:lastPrinted>
  <dcterms:created xsi:type="dcterms:W3CDTF">2014-05-31T07:06:00Z</dcterms:created>
  <dcterms:modified xsi:type="dcterms:W3CDTF">2014-05-31T07:06:00Z</dcterms:modified>
</cp:coreProperties>
</file>