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rPr>
          <w:b/>
          <w:bCs/>
          <w:sz w:val="20"/>
        </w:rPr>
      </w:pPr>
      <w:r w:rsidRPr="003D154A">
        <w:rPr>
          <w:b/>
          <w:sz w:val="20"/>
        </w:rPr>
        <w:t>Evidence Table H-1b. Support observational studies</w:t>
      </w:r>
    </w:p>
    <w:tbl>
      <w:tblPr>
        <w:tblW w:w="5000" w:type="pct"/>
        <w:tblLook w:val="04A0"/>
      </w:tblPr>
      <w:tblGrid>
        <w:gridCol w:w="1637"/>
        <w:gridCol w:w="2610"/>
        <w:gridCol w:w="2301"/>
        <w:gridCol w:w="2175"/>
        <w:gridCol w:w="1751"/>
        <w:gridCol w:w="1991"/>
        <w:gridCol w:w="2151"/>
      </w:tblGrid>
      <w:tr w:rsidR="00E47CF5" w:rsidRPr="00153F4D" w:rsidTr="00E47CF5">
        <w:trPr>
          <w:cantSplit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Quality Rating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Population: 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Eligibility Criteria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Population: 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Exclusion Criteria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Population Data: Number Screened/ Eligible/ Enrolled/ Analyzed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Sex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Intervention: Type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Intervention Ulcer Type/Severity at Baseline (Intervention Onset)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Ochs,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24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Enrolled in National Pressure Ulcer Long-Term Care Study (NPULS)</w:t>
            </w:r>
            <w:r w:rsidRPr="00153F4D" w:rsidDel="005C6387">
              <w:rPr>
                <w:rFonts w:cs="Arial"/>
                <w:sz w:val="16"/>
                <w:szCs w:val="16"/>
              </w:rPr>
              <w:t xml:space="preserve">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18 years old or older Length of stay of 14 days or longer</w:t>
            </w:r>
            <w:r w:rsidRPr="00153F4D">
              <w:rPr>
                <w:rFonts w:cs="Arial"/>
                <w:sz w:val="16"/>
                <w:szCs w:val="16"/>
              </w:rPr>
              <w:br/>
              <w:t>One or more documented PUs in medical record;</w:t>
            </w:r>
            <w:r w:rsidRPr="00153F4D">
              <w:rPr>
                <w:rFonts w:cs="Arial"/>
                <w:sz w:val="16"/>
                <w:szCs w:val="16"/>
              </w:rPr>
              <w:br/>
              <w:t>Treated with one of the three groups of support surfaces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Treated on support surface for less than 5 days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2,486/664/664/664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Age (Mean): 78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Female: 63%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 (available for 28% of sample):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Caucasian: 66.5%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African American: 28.6%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Other: 4.9%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 Surface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Not Staged: 2% (10)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I:10% (47)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II: 62% (288)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III: 13% (59)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IV: 7% (32)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Eschar: 6% (27)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Not Staged: 3% (3)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I: 8% (9)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II: 38% (45)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III:19% (23)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IV: 24% (29)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Eschar: 8% (10)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C: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Not Staged: 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I: 4% (3)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II: 18% (15)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III: 17% (14)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IV: 54% (44)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Eschar: 7% (6)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Valente, 2012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 patients admitted to a geriatric center between 7/1/2001 and 6/30/2002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 Brandon score of 16 or higher (high risk)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Existing PU requiring institution of pressure reduction product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Length of stay less than 10 days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Development of a stage III or IV PU and moved to a low-air loss bed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NR/122/122/122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Age (Mean): </w:t>
            </w:r>
            <w:r w:rsidRPr="00153F4D">
              <w:rPr>
                <w:rFonts w:cs="Arial"/>
                <w:sz w:val="16"/>
                <w:szCs w:val="16"/>
              </w:rPr>
              <w:t>68 years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Female: </w:t>
            </w:r>
            <w:r w:rsidRPr="00153F4D">
              <w:rPr>
                <w:rFonts w:cs="Arial"/>
                <w:sz w:val="16"/>
                <w:szCs w:val="16"/>
              </w:rPr>
              <w:t xml:space="preserve">65%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Caucasian 77% African American 23%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Support: Improved Gel and AP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 and II only</w:t>
            </w:r>
          </w:p>
        </w:tc>
      </w:tr>
      <w:tr w:rsidR="00E47CF5" w:rsidRPr="00153F4D" w:rsidTr="00E47CF5">
        <w:trPr>
          <w:cantSplit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Warner, 1992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26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21 years or older</w:t>
            </w:r>
            <w:r w:rsidRPr="00153F4D">
              <w:rPr>
                <w:rFonts w:cs="Arial"/>
                <w:sz w:val="16"/>
                <w:szCs w:val="16"/>
              </w:rPr>
              <w:br/>
              <w:t>Presence of a PU less than 12 cm in diameter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Use of LAL or Foam mattress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Lesions due to peripheral vascular disease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Multiple system failure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Septicemia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Planned graft or flap surgery of PU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Restrictive immobility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NR/NR/20/20</w:t>
            </w:r>
          </w:p>
          <w:p w:rsidR="00E47CF5" w:rsidRPr="00153F4D" w:rsidDel="005C6387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Age (Mean): </w:t>
            </w:r>
            <w:r w:rsidRPr="00153F4D">
              <w:rPr>
                <w:rFonts w:cs="Arial"/>
                <w:sz w:val="16"/>
                <w:szCs w:val="16"/>
              </w:rPr>
              <w:t>64 years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Female: </w:t>
            </w:r>
            <w:r w:rsidRPr="00153F4D">
              <w:rPr>
                <w:rFonts w:cs="Arial"/>
                <w:sz w:val="16"/>
                <w:szCs w:val="16"/>
              </w:rPr>
              <w:t xml:space="preserve">45%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White 80%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Black: 10%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Hispanic 10%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Support: LAL beds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Stage 1: 6% (1)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II: 29% (5)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III: 41% (7)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IV: 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Eschar/Slough: 24% (4)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Stage 1: 7% (1)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II: 29% (4)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III: 19% (4)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IV: 0</w:t>
            </w:r>
          </w:p>
          <w:p w:rsidR="00E47CF5" w:rsidRPr="00153F4D" w:rsidDel="00C852C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Eschar/Slough: 35% (5)</w:t>
            </w:r>
          </w:p>
        </w:tc>
      </w:tr>
    </w:tbl>
    <w:p w:rsidR="00E47CF5" w:rsidRPr="00153F4D" w:rsidRDefault="00E47CF5" w:rsidP="00E47CF5">
      <w:pPr>
        <w:rPr>
          <w:sz w:val="8"/>
          <w:szCs w:val="8"/>
        </w:rPr>
      </w:pPr>
    </w:p>
    <w:tbl>
      <w:tblPr>
        <w:tblW w:w="5000" w:type="pct"/>
        <w:tblLook w:val="04A0"/>
      </w:tblPr>
      <w:tblGrid>
        <w:gridCol w:w="1492"/>
        <w:gridCol w:w="1471"/>
        <w:gridCol w:w="1468"/>
        <w:gridCol w:w="1468"/>
        <w:gridCol w:w="1950"/>
        <w:gridCol w:w="2160"/>
        <w:gridCol w:w="1169"/>
        <w:gridCol w:w="1079"/>
        <w:gridCol w:w="1093"/>
        <w:gridCol w:w="1266"/>
      </w:tblGrid>
      <w:tr w:rsidR="00E47CF5" w:rsidRPr="00153F4D" w:rsidTr="00E47CF5">
        <w:trPr>
          <w:cantSplit/>
          <w:tblHeader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b/>
                <w:bCs/>
                <w:sz w:val="16"/>
                <w:szCs w:val="16"/>
              </w:rPr>
            </w:pPr>
            <w:r w:rsidRPr="00153F4D">
              <w:rPr>
                <w:b/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b/>
                <w:sz w:val="16"/>
                <w:szCs w:val="16"/>
              </w:rPr>
              <w:br/>
              <w:t>H-</w:t>
            </w:r>
            <w:r w:rsidRPr="00153F4D">
              <w:rPr>
                <w:b/>
                <w:sz w:val="16"/>
                <w:szCs w:val="16"/>
              </w:rPr>
              <w:t>1b: Support Observational Studies</w:t>
            </w:r>
            <w:r w:rsidRPr="00153F4D">
              <w:rPr>
                <w:b/>
                <w:bCs/>
                <w:sz w:val="16"/>
                <w:szCs w:val="16"/>
              </w:rPr>
              <w:t>, continued</w:t>
            </w:r>
          </w:p>
        </w:tc>
        <w:tc>
          <w:tcPr>
            <w:tcW w:w="5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 Treatment A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Complete Wound Healing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Wound Surface Area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Healing Time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Pain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Infection Rate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Osteomyelitis</w:t>
            </w:r>
          </w:p>
        </w:tc>
      </w:tr>
      <w:tr w:rsidR="00E47CF5" w:rsidRPr="00153F4D" w:rsidTr="00E47CF5">
        <w:trPr>
          <w:cantSplit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Ochs,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24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Static overlays and replacement mattresses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Air fluidized beds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Static overlays and replacement mattresses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LAL beds, powered, and non-powered overlays and mattresses.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Mean change in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>/per week</w:t>
            </w:r>
            <w:r w:rsidRPr="00153F4D">
              <w:rPr>
                <w:rFonts w:cs="Arial"/>
                <w:sz w:val="16"/>
                <w:szCs w:val="16"/>
              </w:rPr>
              <w:br/>
              <w:t>All ulcers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A: 5.2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B: 1.5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C: 1.8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p=0.0071 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Stage I/II: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A: 8.8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B: 1.6 </w:t>
            </w:r>
            <w:r w:rsidRPr="00153F4D">
              <w:rPr>
                <w:rFonts w:cs="Arial"/>
                <w:sz w:val="16"/>
                <w:szCs w:val="16"/>
              </w:rPr>
              <w:br/>
              <w:t>Treatment C: 2.4</w:t>
            </w:r>
            <w:r w:rsidRPr="00153F4D">
              <w:rPr>
                <w:rFonts w:cs="Arial"/>
                <w:sz w:val="16"/>
                <w:szCs w:val="16"/>
              </w:rPr>
              <w:br/>
              <w:t>p=0.0229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Stage III/IV/eschar:</w:t>
            </w:r>
            <w:r w:rsidRPr="00153F4D">
              <w:rPr>
                <w:rFonts w:cs="Arial"/>
                <w:sz w:val="16"/>
                <w:szCs w:val="16"/>
              </w:rPr>
              <w:br/>
              <w:t>Treatment A: 4.1</w:t>
            </w:r>
            <w:r w:rsidRPr="00153F4D">
              <w:rPr>
                <w:rFonts w:cs="Arial"/>
                <w:sz w:val="16"/>
                <w:szCs w:val="16"/>
              </w:rPr>
              <w:br/>
              <w:t>Treatment B: 1.1</w:t>
            </w:r>
            <w:r w:rsidRPr="00153F4D">
              <w:rPr>
                <w:rFonts w:cs="Arial"/>
                <w:sz w:val="16"/>
                <w:szCs w:val="16"/>
              </w:rPr>
              <w:br/>
              <w:t>Treatment C: 1.4</w:t>
            </w:r>
            <w:r w:rsidRPr="00153F4D">
              <w:rPr>
                <w:rFonts w:cs="Arial"/>
                <w:sz w:val="16"/>
                <w:szCs w:val="16"/>
              </w:rPr>
              <w:br/>
              <w:t>ANOVA p=0.0259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Group 3 statistically significantly better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Subset stage III/IV with baseline size 20-75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Group 1: 2.5 Group 2: -2.1 (Group 3: 2.3 </w:t>
            </w:r>
            <w:r w:rsidRPr="00153F4D">
              <w:rPr>
                <w:rFonts w:cs="Arial"/>
                <w:sz w:val="16"/>
                <w:szCs w:val="16"/>
              </w:rPr>
              <w:br/>
              <w:t>Groups 1 and 3 significantly better than 2 (p=0.0399)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lastRenderedPageBreak/>
              <w:t>Valente, 2012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AP overlay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Gel Overlay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Complete Wound Healing for PUs Present on Admission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27% (13/48)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 17% (5/30)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Complete Wound Healing PU Developed During Stay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 22% (15/67)Treatment B:  11% (6/55)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Not significantly different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p&lt;0.05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31.3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per week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31.9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per week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p=NS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Warner, 1992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26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Del="000475B0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LAL Bed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Foam Mattress with loose-fitting cover</w:t>
            </w:r>
          </w:p>
          <w:p w:rsidR="00E47CF5" w:rsidRPr="00153F4D" w:rsidDel="000475B0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Del="00131919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Del="000475B0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Mean Progress Toward Wound Closure: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0.16 cm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B: 0.27 cm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p&gt;0.05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/>
    <w:p w:rsidR="00E47CF5" w:rsidRPr="00153F4D" w:rsidRDefault="00E47CF5" w:rsidP="00E47CF5">
      <w:r w:rsidRPr="00153F4D">
        <w:br w:type="page"/>
      </w:r>
    </w:p>
    <w:tbl>
      <w:tblPr>
        <w:tblW w:w="145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/>
      </w:tblPr>
      <w:tblGrid>
        <w:gridCol w:w="1403"/>
        <w:gridCol w:w="1260"/>
        <w:gridCol w:w="990"/>
        <w:gridCol w:w="1040"/>
        <w:gridCol w:w="990"/>
        <w:gridCol w:w="990"/>
        <w:gridCol w:w="810"/>
        <w:gridCol w:w="1210"/>
        <w:gridCol w:w="900"/>
        <w:gridCol w:w="810"/>
        <w:gridCol w:w="810"/>
        <w:gridCol w:w="1080"/>
        <w:gridCol w:w="1170"/>
        <w:gridCol w:w="1058"/>
      </w:tblGrid>
      <w:tr w:rsidR="00E47CF5" w:rsidRPr="00153F4D" w:rsidTr="00E47CF5">
        <w:trPr>
          <w:cantSplit/>
        </w:trPr>
        <w:tc>
          <w:tcPr>
            <w:tcW w:w="1403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r w:rsidRPr="00153F4D">
              <w:rPr>
                <w:b/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b/>
                <w:sz w:val="16"/>
                <w:szCs w:val="16"/>
              </w:rPr>
              <w:br/>
              <w:t>H-</w:t>
            </w:r>
            <w:r w:rsidRPr="00153F4D">
              <w:rPr>
                <w:b/>
                <w:sz w:val="16"/>
                <w:szCs w:val="16"/>
              </w:rPr>
              <w:t>1b: Support Observational Studies</w:t>
            </w:r>
            <w:r w:rsidRPr="00153F4D">
              <w:rPr>
                <w:b/>
                <w:bCs/>
                <w:sz w:val="16"/>
                <w:szCs w:val="16"/>
              </w:rPr>
              <w:t>, continued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1403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br w:type="page"/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1260" w:type="dxa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Recurrence Rate</w:t>
            </w:r>
          </w:p>
        </w:tc>
        <w:tc>
          <w:tcPr>
            <w:tcW w:w="990" w:type="dxa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Outcomes: Specify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Timing: Duration of Followup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Setting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Setting Comment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Pain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Dermatologic Complication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Bleeding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Infection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Severe Adverse Events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Withdrawal Due to Adverse Events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Adverse Events Rate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1403" w:type="dxa"/>
            <w:shd w:val="clear" w:color="auto" w:fill="auto"/>
            <w:hideMark/>
          </w:tcPr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Ochs,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24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126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Hospitalizations and ER visits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Number (%) of patients with 1 or more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A: 7% (47)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Treatment B: 10% (23) </w:t>
            </w:r>
            <w:r w:rsidRPr="00153F4D">
              <w:rPr>
                <w:rFonts w:cs="Arial"/>
                <w:sz w:val="16"/>
                <w:szCs w:val="16"/>
              </w:rPr>
              <w:br/>
              <w:t>Treatment C: 19% ( 6)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Probability of difference</w:t>
            </w:r>
            <w:r w:rsidRPr="00153F4D">
              <w:rPr>
                <w:rFonts w:cs="Arial"/>
                <w:sz w:val="16"/>
                <w:szCs w:val="16"/>
              </w:rPr>
              <w:br/>
              <w:t>B vs. C p=0.0080</w:t>
            </w:r>
            <w:r w:rsidRPr="00153F4D">
              <w:rPr>
                <w:rFonts w:cs="Arial"/>
                <w:sz w:val="16"/>
                <w:szCs w:val="16"/>
              </w:rPr>
              <w:br/>
              <w:t>A vs. C p=0.0195</w:t>
            </w:r>
            <w:r w:rsidRPr="00153F4D">
              <w:rPr>
                <w:rFonts w:cs="Arial"/>
                <w:sz w:val="16"/>
                <w:szCs w:val="16"/>
              </w:rPr>
              <w:br/>
              <w:t>A vs. B p=0.4184</w:t>
            </w:r>
          </w:p>
        </w:tc>
        <w:tc>
          <w:tcPr>
            <w:tcW w:w="99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4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3 months </w:t>
            </w: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 - Nursing home/Long-term care</w:t>
            </w: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2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Analyses were done on person level and episode level, where episode is each ulcer for a 7-10 day period. As conclusion are the same, person level is included here.</w:t>
            </w:r>
          </w:p>
        </w:tc>
        <w:tc>
          <w:tcPr>
            <w:tcW w:w="1058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Hill-Rom</w:t>
            </w:r>
          </w:p>
        </w:tc>
      </w:tr>
      <w:tr w:rsidR="00E47CF5" w:rsidRPr="00153F4D" w:rsidTr="00E47CF5">
        <w:trPr>
          <w:cantSplit/>
        </w:trPr>
        <w:tc>
          <w:tcPr>
            <w:tcW w:w="1403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Valente, 2012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26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4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Mean Length of Stay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133 days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B: 83 days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Chronic Care Beds/Long-term care</w:t>
            </w: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2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58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John A. Hartford Foundation/ American Federation for Aging and Research</w:t>
            </w:r>
          </w:p>
        </w:tc>
      </w:tr>
      <w:tr w:rsidR="00E47CF5" w:rsidRPr="00153F4D" w:rsidTr="00E47CF5">
        <w:trPr>
          <w:cantSplit/>
        </w:trPr>
        <w:tc>
          <w:tcPr>
            <w:tcW w:w="1403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Warner, 1992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26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26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40" w:type="dxa"/>
            <w:shd w:val="clear" w:color="auto" w:fill="auto"/>
            <w:hideMark/>
          </w:tcPr>
          <w:p w:rsidR="00E47CF5" w:rsidRPr="00153F4D" w:rsidDel="004B3D69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4 weeks</w:t>
            </w: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  <w:tc>
          <w:tcPr>
            <w:tcW w:w="99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2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1058" w:type="dxa"/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Sigma Theta Tau International</w:t>
            </w:r>
          </w:p>
        </w:tc>
      </w:tr>
    </w:tbl>
    <w:p w:rsidR="00E47CF5" w:rsidRPr="00153F4D" w:rsidRDefault="00E47CF5" w:rsidP="00F9550B"/>
    <w:sectPr w:rsidR="00E47CF5" w:rsidRPr="00153F4D" w:rsidSect="00F11168">
      <w:footerReference w:type="default" r:id="rId8"/>
      <w:pgSz w:w="15840" w:h="12240" w:orient="landscape" w:code="1"/>
      <w:pgMar w:top="1440" w:right="720" w:bottom="1440" w:left="72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79" w:rsidRDefault="00680679">
      <w:r>
        <w:separator/>
      </w:r>
    </w:p>
  </w:endnote>
  <w:endnote w:type="continuationSeparator" w:id="0">
    <w:p w:rsidR="00680679" w:rsidRDefault="0068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C16CCC">
            <w:rPr>
              <w:noProof/>
            </w:rPr>
            <w:t>25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79" w:rsidRDefault="00680679">
      <w:r>
        <w:separator/>
      </w:r>
    </w:p>
  </w:footnote>
  <w:footnote w:type="continuationSeparator" w:id="0">
    <w:p w:rsidR="00680679" w:rsidRDefault="00680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4ADE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0679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47A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6CCC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042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1168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550B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95B1C-9140-499C-9AA1-D2F0B75D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4878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2013-06-08T05:21:00Z</dcterms:created>
  <dcterms:modified xsi:type="dcterms:W3CDTF">2013-06-08T06:30:00Z</dcterms:modified>
</cp:coreProperties>
</file>