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6930"/>
        <w:gridCol w:w="1620"/>
      </w:tblGrid>
      <w:tr w:rsidR="0001232C" w:rsidRPr="008827D4" w:rsidTr="00DE7221">
        <w:trPr>
          <w:cantSplit/>
          <w:tblHeader/>
        </w:trPr>
        <w:tc>
          <w:tcPr>
            <w:tcW w:w="4500" w:type="dxa"/>
          </w:tcPr>
          <w:p w:rsidR="0001232C" w:rsidRPr="008827D4" w:rsidRDefault="0001232C" w:rsidP="00DE7221">
            <w:pPr>
              <w:rPr>
                <w:rFonts w:ascii="Arial" w:hAnsi="Arial" w:cs="Arial"/>
                <w:b/>
                <w:bCs/>
                <w:sz w:val="20"/>
              </w:rPr>
            </w:pPr>
            <w:r w:rsidRPr="008827D4">
              <w:rPr>
                <w:rFonts w:ascii="Arial" w:hAnsi="Arial" w:cs="Arial"/>
                <w:b/>
                <w:bCs/>
                <w:sz w:val="20"/>
              </w:rPr>
              <w:t>Criterion</w:t>
            </w:r>
          </w:p>
        </w:tc>
        <w:tc>
          <w:tcPr>
            <w:tcW w:w="6930" w:type="dxa"/>
          </w:tcPr>
          <w:p w:rsidR="0001232C" w:rsidRPr="008827D4" w:rsidRDefault="0001232C" w:rsidP="00DE7221">
            <w:pPr>
              <w:rPr>
                <w:rFonts w:ascii="Arial" w:hAnsi="Arial" w:cs="Arial"/>
                <w:b/>
                <w:bCs/>
                <w:sz w:val="20"/>
              </w:rPr>
            </w:pPr>
            <w:r w:rsidRPr="008827D4">
              <w:rPr>
                <w:rFonts w:ascii="Arial" w:hAnsi="Arial" w:cs="Arial"/>
                <w:b/>
                <w:bCs/>
                <w:sz w:val="20"/>
              </w:rPr>
              <w:t>Example of text related to this criterion</w:t>
            </w:r>
          </w:p>
        </w:tc>
        <w:tc>
          <w:tcPr>
            <w:tcW w:w="1620" w:type="dxa"/>
          </w:tcPr>
          <w:p w:rsidR="0001232C" w:rsidRPr="008827D4" w:rsidRDefault="0001232C" w:rsidP="00DE7221">
            <w:pPr>
              <w:rPr>
                <w:rFonts w:ascii="Arial" w:hAnsi="Arial" w:cs="Arial"/>
                <w:b/>
                <w:bCs/>
                <w:sz w:val="20"/>
              </w:rPr>
            </w:pPr>
            <w:r>
              <w:rPr>
                <w:rFonts w:ascii="Arial" w:hAnsi="Arial" w:cs="Arial"/>
                <w:b/>
                <w:bCs/>
                <w:sz w:val="20"/>
              </w:rPr>
              <w:t>Rating</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tcPr>
          <w:p w:rsidR="0001232C" w:rsidRPr="008827D4" w:rsidRDefault="0001232C" w:rsidP="00DE7221">
            <w:pPr>
              <w:autoSpaceDE w:val="0"/>
              <w:autoSpaceDN w:val="0"/>
              <w:adjustRightInd w:val="0"/>
              <w:rPr>
                <w:rFonts w:ascii="Arial" w:hAnsi="Arial" w:cs="Arial"/>
                <w:sz w:val="20"/>
              </w:rPr>
            </w:pPr>
            <w:r>
              <w:rPr>
                <w:rFonts w:ascii="Arial" w:hAnsi="Arial" w:cs="Arial"/>
                <w:color w:val="000000"/>
                <w:sz w:val="20"/>
              </w:rPr>
              <w:t>The only text found is:</w:t>
            </w:r>
            <w:r w:rsidRPr="008827D4">
              <w:rPr>
                <w:rFonts w:ascii="Arial" w:hAnsi="Arial" w:cs="Arial"/>
                <w:color w:val="000000"/>
                <w:sz w:val="20"/>
              </w:rPr>
              <w:t xml:space="preserve"> “The study is a retrospective analysis of mother and infant data from the hospital records of the perinatal and HIV PMTCT service of the Municipal Hospital Divina Providencia, a general population hospital situated in the urban area of Luanda, Angola.”</w:t>
            </w:r>
          </w:p>
        </w:tc>
        <w:tc>
          <w:tcPr>
            <w:tcW w:w="1620" w:type="dxa"/>
          </w:tcPr>
          <w:p w:rsidR="0001232C" w:rsidRDefault="0001232C" w:rsidP="00DE7221">
            <w:pPr>
              <w:autoSpaceDE w:val="0"/>
              <w:autoSpaceDN w:val="0"/>
              <w:adjustRightInd w:val="0"/>
              <w:rPr>
                <w:rFonts w:ascii="Arial" w:hAnsi="Arial" w:cs="Arial"/>
                <w:color w:val="000000"/>
                <w:sz w:val="20"/>
              </w:rPr>
            </w:pPr>
            <w:r>
              <w:rPr>
                <w:rFonts w:ascii="Arial" w:hAnsi="Arial" w:cs="Arial"/>
                <w:color w:val="000000"/>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tcPr>
          <w:p w:rsidR="0001232C" w:rsidRPr="008827D4" w:rsidRDefault="0001232C" w:rsidP="00DE7221">
            <w:pPr>
              <w:rPr>
                <w:rFonts w:ascii="Arial" w:hAnsi="Arial" w:cs="Arial"/>
                <w:i/>
                <w:iCs/>
                <w:sz w:val="20"/>
              </w:rPr>
            </w:pPr>
            <w:r w:rsidRPr="008827D4">
              <w:rPr>
                <w:rFonts w:ascii="Arial" w:hAnsi="Arial" w:cs="Arial"/>
                <w:color w:val="000000"/>
                <w:sz w:val="20"/>
              </w:rPr>
              <w:t>“Antiretroviral therapy is effective in reducing rates of mother-to child transmission of HIV to low levels in resource-limited contexts</w:t>
            </w:r>
            <w:r>
              <w:rPr>
                <w:rFonts w:ascii="Arial" w:hAnsi="Arial" w:cs="Arial"/>
                <w:color w:val="000000"/>
                <w:sz w:val="20"/>
              </w:rPr>
              <w:t xml:space="preserve"> (REFs)</w:t>
            </w:r>
            <w:r w:rsidRPr="008827D4">
              <w:rPr>
                <w:rFonts w:ascii="Arial" w:hAnsi="Arial" w:cs="Arial"/>
                <w:color w:val="000000"/>
                <w:sz w:val="20"/>
              </w:rPr>
              <w:t>”</w:t>
            </w:r>
          </w:p>
        </w:tc>
        <w:tc>
          <w:tcPr>
            <w:tcW w:w="1620" w:type="dxa"/>
          </w:tcPr>
          <w:p w:rsidR="0001232C" w:rsidRPr="008827D4" w:rsidRDefault="0001232C" w:rsidP="00DE7221">
            <w:pPr>
              <w:rPr>
                <w:rFonts w:ascii="Arial" w:hAnsi="Arial" w:cs="Arial"/>
                <w:color w:val="000000"/>
                <w:sz w:val="20"/>
              </w:rPr>
            </w:pPr>
            <w:r>
              <w:rPr>
                <w:rFonts w:ascii="Arial" w:hAnsi="Arial" w:cs="Arial"/>
                <w:color w:val="000000"/>
                <w:sz w:val="20"/>
              </w:rPr>
              <w:t>Fair</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tcPr>
          <w:p w:rsidR="0001232C" w:rsidRPr="008827D4" w:rsidRDefault="0001232C" w:rsidP="00DE7221">
            <w:pPr>
              <w:rPr>
                <w:rFonts w:ascii="Arial" w:hAnsi="Arial" w:cs="Arial"/>
                <w:sz w:val="20"/>
              </w:rPr>
            </w:pPr>
            <w:r w:rsidRPr="008827D4">
              <w:rPr>
                <w:rFonts w:ascii="Arial" w:hAnsi="Arial" w:cs="Arial"/>
                <w:sz w:val="20"/>
              </w:rPr>
              <w:t>“Women accessing the HIV PMTCT and perinatal care service at the Luanda Divina Providencia hospital are managed according to standardized procedures.”</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r w:rsidR="0001232C" w:rsidRPr="008827D4" w:rsidTr="00DE7221">
        <w:tc>
          <w:tcPr>
            <w:tcW w:w="4500" w:type="dxa"/>
          </w:tcPr>
          <w:p w:rsidR="0001232C" w:rsidRDefault="0001232C" w:rsidP="00DE7221">
            <w:pPr>
              <w:rPr>
                <w:rFonts w:ascii="Arial" w:hAnsi="Arial" w:cs="Arial"/>
                <w:b/>
                <w:bCs/>
                <w:sz w:val="20"/>
              </w:rPr>
            </w:pPr>
            <w:r w:rsidRPr="00201F17">
              <w:rPr>
                <w:rFonts w:ascii="Arial" w:hAnsi="Arial" w:cs="Arial"/>
                <w:b/>
                <w:bCs/>
                <w:sz w:val="20"/>
              </w:rPr>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lastRenderedPageBreak/>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tcPr>
          <w:p w:rsidR="0001232C" w:rsidRPr="008827D4" w:rsidRDefault="0001232C" w:rsidP="00DE7221">
            <w:pPr>
              <w:rPr>
                <w:rFonts w:ascii="Arial" w:hAnsi="Arial" w:cs="Arial"/>
                <w:sz w:val="20"/>
              </w:rPr>
            </w:pPr>
            <w:r>
              <w:rPr>
                <w:rFonts w:ascii="Arial" w:hAnsi="Arial" w:cs="Arial"/>
                <w:sz w:val="20"/>
              </w:rPr>
              <w:lastRenderedPageBreak/>
              <w:t>Not described.</w:t>
            </w:r>
          </w:p>
        </w:tc>
        <w:tc>
          <w:tcPr>
            <w:tcW w:w="1620" w:type="dxa"/>
          </w:tcPr>
          <w:p w:rsidR="0001232C" w:rsidRDefault="0001232C" w:rsidP="00DE7221">
            <w:pPr>
              <w:rPr>
                <w:rFonts w:ascii="Arial" w:hAnsi="Arial" w:cs="Arial"/>
                <w:sz w:val="20"/>
              </w:rPr>
            </w:pPr>
            <w:r>
              <w:rPr>
                <w:rFonts w:ascii="Arial" w:hAnsi="Arial" w:cs="Arial"/>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0F4D26" w:rsidRDefault="0001232C" w:rsidP="00DE7221">
            <w:pPr>
              <w:rPr>
                <w:rFonts w:ascii="Arial" w:hAnsi="Arial" w:cs="Arial"/>
                <w:sz w:val="12"/>
                <w:szCs w:val="12"/>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f. The duration (such as the number of sessions and their spacing interval over a given period)</w:t>
            </w:r>
          </w:p>
        </w:tc>
        <w:tc>
          <w:tcPr>
            <w:tcW w:w="693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Characteristics of those delivering the intervention/program (such as a nurse or lay health worker)</w:t>
            </w:r>
          </w:p>
          <w:p w:rsidR="0001232C" w:rsidRPr="008827D4" w:rsidRDefault="0001232C" w:rsidP="00DE7221">
            <w:pPr>
              <w:rPr>
                <w:rFonts w:ascii="Arial" w:hAnsi="Arial" w:cs="Arial"/>
                <w:sz w:val="20"/>
              </w:rPr>
            </w:pPr>
            <w:r>
              <w:rPr>
                <w:rFonts w:ascii="Arial" w:hAnsi="Arial" w:cs="Arial"/>
                <w:sz w:val="20"/>
              </w:rPr>
              <w:t xml:space="preserve">“Clinicians” - </w:t>
            </w:r>
            <w:r w:rsidRPr="008827D4">
              <w:rPr>
                <w:rFonts w:ascii="Arial" w:hAnsi="Arial" w:cs="Arial"/>
                <w:sz w:val="20"/>
              </w:rPr>
              <w:t>presumably MDs + nurses at the hospital</w:t>
            </w:r>
          </w:p>
          <w:p w:rsidR="0001232C" w:rsidRPr="008827D4"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Characteristics of the recipients</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3"/>
              <w:gridCol w:w="550"/>
              <w:gridCol w:w="717"/>
            </w:tblGrid>
            <w:tr w:rsidR="0001232C" w:rsidRPr="008827D4" w:rsidTr="00DE7221">
              <w:tc>
                <w:tcPr>
                  <w:tcW w:w="3053"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p>
              </w:tc>
              <w:tc>
                <w:tcPr>
                  <w:tcW w:w="360"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N</w:t>
                  </w:r>
                </w:p>
              </w:tc>
              <w:tc>
                <w:tcPr>
                  <w:tcW w:w="717"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Mean</w:t>
                  </w:r>
                </w:p>
              </w:tc>
            </w:tr>
            <w:tr w:rsidR="0001232C" w:rsidRPr="008827D4" w:rsidTr="00DE7221">
              <w:tc>
                <w:tcPr>
                  <w:tcW w:w="3053"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Age (years)</w:t>
                  </w:r>
                </w:p>
              </w:tc>
              <w:tc>
                <w:tcPr>
                  <w:tcW w:w="360"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104</w:t>
                  </w:r>
                </w:p>
              </w:tc>
              <w:tc>
                <w:tcPr>
                  <w:tcW w:w="717"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29.2</w:t>
                  </w:r>
                </w:p>
              </w:tc>
            </w:tr>
            <w:tr w:rsidR="0001232C" w:rsidRPr="008827D4" w:rsidTr="00DE7221">
              <w:tc>
                <w:tcPr>
                  <w:tcW w:w="3053"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Body mass index (kg/m</w:t>
                  </w:r>
                  <w:r w:rsidRPr="008827D4">
                    <w:rPr>
                      <w:rFonts w:ascii="Arial" w:hAnsi="Arial" w:cs="Arial"/>
                      <w:sz w:val="20"/>
                      <w:vertAlign w:val="superscript"/>
                    </w:rPr>
                    <w:t>2</w:t>
                  </w:r>
                  <w:r w:rsidRPr="008827D4">
                    <w:rPr>
                      <w:rFonts w:ascii="Arial" w:hAnsi="Arial" w:cs="Arial"/>
                      <w:sz w:val="20"/>
                    </w:rPr>
                    <w:t>)</w:t>
                  </w:r>
                </w:p>
              </w:tc>
              <w:tc>
                <w:tcPr>
                  <w:tcW w:w="360"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102</w:t>
                  </w:r>
                </w:p>
              </w:tc>
              <w:tc>
                <w:tcPr>
                  <w:tcW w:w="717"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23.1</w:t>
                  </w:r>
                </w:p>
              </w:tc>
            </w:tr>
            <w:tr w:rsidR="0001232C" w:rsidRPr="008827D4" w:rsidTr="00DE7221">
              <w:tc>
                <w:tcPr>
                  <w:tcW w:w="3053"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Number of previous pregnancies</w:t>
                  </w:r>
                </w:p>
              </w:tc>
              <w:tc>
                <w:tcPr>
                  <w:tcW w:w="360"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104</w:t>
                  </w:r>
                </w:p>
              </w:tc>
              <w:tc>
                <w:tcPr>
                  <w:tcW w:w="717"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2.9</w:t>
                  </w:r>
                </w:p>
              </w:tc>
            </w:tr>
            <w:tr w:rsidR="0001232C" w:rsidRPr="008827D4" w:rsidTr="00DE7221">
              <w:tc>
                <w:tcPr>
                  <w:tcW w:w="3053"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Number of previous live births</w:t>
                  </w:r>
                </w:p>
              </w:tc>
              <w:tc>
                <w:tcPr>
                  <w:tcW w:w="360"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104</w:t>
                  </w:r>
                </w:p>
              </w:tc>
              <w:tc>
                <w:tcPr>
                  <w:tcW w:w="717" w:type="dxa"/>
                  <w:tcBorders>
                    <w:top w:val="single" w:sz="4" w:space="0" w:color="000000"/>
                    <w:left w:val="single" w:sz="4" w:space="0" w:color="000000"/>
                    <w:bottom w:val="single" w:sz="4" w:space="0" w:color="000000"/>
                    <w:right w:val="single" w:sz="4" w:space="0" w:color="000000"/>
                  </w:tcBorders>
                </w:tcPr>
                <w:p w:rsidR="0001232C" w:rsidRPr="008827D4" w:rsidRDefault="0001232C" w:rsidP="00DE7221">
                  <w:pPr>
                    <w:rPr>
                      <w:rFonts w:ascii="Arial" w:hAnsi="Arial" w:cs="Arial"/>
                      <w:sz w:val="20"/>
                    </w:rPr>
                  </w:pPr>
                  <w:r w:rsidRPr="008827D4">
                    <w:rPr>
                      <w:rFonts w:ascii="Arial" w:hAnsi="Arial" w:cs="Arial"/>
                      <w:sz w:val="20"/>
                    </w:rPr>
                    <w:t>2.5</w:t>
                  </w:r>
                </w:p>
              </w:tc>
            </w:tr>
          </w:tbl>
          <w:p w:rsidR="0001232C" w:rsidRPr="008827D4"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The setting</w:t>
            </w:r>
          </w:p>
          <w:p w:rsidR="0001232C" w:rsidRPr="008827D4" w:rsidRDefault="0001232C" w:rsidP="00DE7221">
            <w:pPr>
              <w:rPr>
                <w:rFonts w:ascii="Arial" w:hAnsi="Arial" w:cs="Arial"/>
                <w:sz w:val="20"/>
              </w:rPr>
            </w:pPr>
            <w:r w:rsidRPr="008827D4">
              <w:rPr>
                <w:rFonts w:ascii="Arial" w:hAnsi="Arial" w:cs="Arial"/>
                <w:color w:val="000000"/>
                <w:sz w:val="20"/>
              </w:rPr>
              <w:t>“The study is a retrospective analysis of mother and infant data from the hospital records of the perinatal and HIV PMTCT service of the Municipal Hospital Divina Providencia, a general population hospital situated in the urban area of Luanda, Angola.”</w:t>
            </w:r>
          </w:p>
          <w:p w:rsidR="0001232C" w:rsidRPr="008827D4"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The mode of delivery (such as face-to-face)</w:t>
            </w:r>
          </w:p>
          <w:p w:rsidR="0001232C" w:rsidRPr="008827D4" w:rsidRDefault="0001232C" w:rsidP="00DE7221">
            <w:pPr>
              <w:rPr>
                <w:rFonts w:ascii="Arial" w:hAnsi="Arial" w:cs="Arial"/>
                <w:sz w:val="20"/>
              </w:rPr>
            </w:pPr>
            <w:r w:rsidRPr="008827D4">
              <w:rPr>
                <w:rFonts w:ascii="Arial" w:hAnsi="Arial" w:cs="Arial"/>
                <w:sz w:val="20"/>
              </w:rPr>
              <w:t>Face-to-face</w:t>
            </w:r>
          </w:p>
          <w:p w:rsidR="0001232C"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The intensity of the intervention/program (such as the contact time with participants)</w:t>
            </w:r>
          </w:p>
          <w:p w:rsidR="0001232C" w:rsidRPr="008827D4" w:rsidRDefault="0001232C" w:rsidP="00DE7221">
            <w:pPr>
              <w:rPr>
                <w:rFonts w:ascii="Arial" w:hAnsi="Arial" w:cs="Arial"/>
                <w:color w:val="000000"/>
                <w:sz w:val="20"/>
              </w:rPr>
            </w:pPr>
            <w:r w:rsidRPr="008827D4">
              <w:rPr>
                <w:rFonts w:ascii="Arial" w:hAnsi="Arial" w:cs="Arial"/>
                <w:color w:val="000000"/>
                <w:sz w:val="20"/>
              </w:rPr>
              <w:t>“At least one prenatal or perinatal service access”</w:t>
            </w:r>
          </w:p>
          <w:p w:rsidR="0001232C" w:rsidRPr="008827D4" w:rsidRDefault="0001232C" w:rsidP="00DE7221">
            <w:pPr>
              <w:rPr>
                <w:rFonts w:ascii="Arial" w:hAnsi="Arial" w:cs="Arial"/>
                <w:sz w:val="20"/>
              </w:rPr>
            </w:pPr>
          </w:p>
          <w:p w:rsidR="0001232C" w:rsidRPr="008827D4" w:rsidRDefault="0001232C" w:rsidP="00DE7221">
            <w:pPr>
              <w:rPr>
                <w:rFonts w:ascii="Arial" w:hAnsi="Arial" w:cs="Arial"/>
                <w:sz w:val="20"/>
              </w:rPr>
            </w:pPr>
            <w:r w:rsidRPr="008827D4">
              <w:rPr>
                <w:rFonts w:ascii="Arial" w:hAnsi="Arial" w:cs="Arial"/>
                <w:sz w:val="20"/>
              </w:rPr>
              <w:t>The duration (such as the number of sessions and their spacing interval over a given period)</w:t>
            </w:r>
          </w:p>
          <w:p w:rsidR="0001232C" w:rsidRPr="00066210" w:rsidRDefault="0001232C" w:rsidP="00DE7221">
            <w:pPr>
              <w:rPr>
                <w:rFonts w:ascii="Arial" w:hAnsi="Arial" w:cs="Arial"/>
                <w:sz w:val="20"/>
              </w:rPr>
            </w:pPr>
            <w:r w:rsidRPr="008827D4">
              <w:rPr>
                <w:rFonts w:ascii="Arial" w:hAnsi="Arial" w:cs="Arial"/>
                <w:color w:val="000000"/>
                <w:sz w:val="20"/>
              </w:rPr>
              <w:t>“At least one prenatal or perinatal service access”</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tcPr>
          <w:p w:rsidR="0001232C" w:rsidRPr="008827D4" w:rsidRDefault="0001232C" w:rsidP="00DE7221">
            <w:pPr>
              <w:rPr>
                <w:rFonts w:ascii="Arial" w:hAnsi="Arial" w:cs="Arial"/>
                <w:sz w:val="20"/>
              </w:rPr>
            </w:pPr>
            <w:r w:rsidRPr="008827D4">
              <w:rPr>
                <w:rFonts w:ascii="Arial" w:hAnsi="Arial" w:cs="Arial"/>
                <w:sz w:val="20"/>
              </w:rPr>
              <w:t>Adherence or fidelity to delivery protocols</w:t>
            </w:r>
          </w:p>
          <w:p w:rsidR="0001232C" w:rsidRPr="008827D4" w:rsidRDefault="0001232C" w:rsidP="00DE7221">
            <w:pPr>
              <w:rPr>
                <w:rFonts w:ascii="Arial" w:hAnsi="Arial" w:cs="Arial"/>
                <w:sz w:val="20"/>
              </w:rPr>
            </w:pPr>
            <w:r>
              <w:rPr>
                <w:rFonts w:ascii="Arial" w:hAnsi="Arial" w:cs="Arial"/>
                <w:sz w:val="20"/>
              </w:rPr>
              <w:t xml:space="preserve">No information on adherence or fidelity. </w:t>
            </w:r>
            <w:r w:rsidRPr="008827D4">
              <w:rPr>
                <w:rFonts w:ascii="Arial" w:hAnsi="Arial" w:cs="Arial"/>
                <w:sz w:val="20"/>
              </w:rPr>
              <w:t>“Women accessing the HIV PMTCT and perinatal care service at the Luanda Divina Providencia hospital are managed accordi</w:t>
            </w:r>
            <w:r>
              <w:rPr>
                <w:rFonts w:ascii="Arial" w:hAnsi="Arial" w:cs="Arial"/>
                <w:sz w:val="20"/>
              </w:rPr>
              <w:t>ng to standardized procedures.”</w:t>
            </w:r>
          </w:p>
        </w:tc>
        <w:tc>
          <w:tcPr>
            <w:tcW w:w="1620" w:type="dxa"/>
          </w:tcPr>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tcPr>
          <w:p w:rsidR="0001232C" w:rsidRPr="008827D4" w:rsidRDefault="0001232C" w:rsidP="00DE7221">
            <w:pPr>
              <w:rPr>
                <w:rFonts w:ascii="Arial" w:hAnsi="Arial" w:cs="Arial"/>
                <w:sz w:val="20"/>
              </w:rPr>
            </w:pPr>
            <w:r w:rsidRPr="008827D4">
              <w:rPr>
                <w:rFonts w:ascii="Arial" w:hAnsi="Arial" w:cs="Arial"/>
                <w:sz w:val="20"/>
              </w:rPr>
              <w:t>Not reported</w:t>
            </w:r>
            <w:r>
              <w:rPr>
                <w:rFonts w:ascii="Arial" w:hAnsi="Arial" w:cs="Arial"/>
                <w:sz w:val="20"/>
              </w:rPr>
              <w:t>.</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tcPr>
          <w:p w:rsidR="0001232C" w:rsidRPr="008827D4" w:rsidRDefault="0001232C" w:rsidP="00DE7221">
            <w:pPr>
              <w:rPr>
                <w:rFonts w:ascii="Arial" w:hAnsi="Arial" w:cs="Arial"/>
                <w:i/>
                <w:iCs/>
                <w:sz w:val="20"/>
              </w:rPr>
            </w:pPr>
            <w:r w:rsidRPr="008827D4">
              <w:rPr>
                <w:rFonts w:ascii="Arial" w:hAnsi="Arial" w:cs="Arial"/>
                <w:sz w:val="20"/>
              </w:rPr>
              <w:t>Not reported</w:t>
            </w:r>
            <w:r>
              <w:rPr>
                <w:rFonts w:ascii="Arial" w:hAnsi="Arial" w:cs="Arial"/>
                <w:sz w:val="20"/>
              </w:rPr>
              <w:t>.</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tcPr>
          <w:p w:rsidR="0001232C" w:rsidRPr="008827D4" w:rsidRDefault="0001232C" w:rsidP="00DE7221">
            <w:pPr>
              <w:rPr>
                <w:rFonts w:ascii="Arial" w:hAnsi="Arial" w:cs="Arial"/>
                <w:sz w:val="20"/>
              </w:rPr>
            </w:pPr>
            <w:r w:rsidRPr="008827D4">
              <w:rPr>
                <w:rFonts w:ascii="Arial" w:hAnsi="Arial" w:cs="Arial"/>
                <w:sz w:val="20"/>
              </w:rPr>
              <w:t>Not reported</w:t>
            </w:r>
            <w:r>
              <w:rPr>
                <w:rFonts w:ascii="Arial" w:hAnsi="Arial" w:cs="Arial"/>
                <w:sz w:val="20"/>
              </w:rPr>
              <w:t>.</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tcPr>
          <w:p w:rsidR="0001232C" w:rsidRPr="008827D4" w:rsidRDefault="0001232C" w:rsidP="00DE7221">
            <w:pPr>
              <w:rPr>
                <w:rFonts w:ascii="Arial" w:hAnsi="Arial" w:cs="Arial"/>
                <w:sz w:val="20"/>
              </w:rPr>
            </w:pPr>
            <w:r w:rsidRPr="008827D4">
              <w:rPr>
                <w:rFonts w:ascii="Arial" w:hAnsi="Arial" w:cs="Arial"/>
                <w:sz w:val="20"/>
              </w:rPr>
              <w:t>Not described</w:t>
            </w:r>
            <w:r>
              <w:rPr>
                <w:rFonts w:ascii="Arial" w:hAnsi="Arial" w:cs="Arial"/>
                <w:sz w:val="20"/>
              </w:rPr>
              <w:t>.</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r w:rsidR="0001232C" w:rsidRPr="008827D4"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tcPr>
          <w:p w:rsidR="0001232C" w:rsidRPr="008827D4" w:rsidRDefault="0001232C" w:rsidP="00DE7221">
            <w:pPr>
              <w:rPr>
                <w:rFonts w:ascii="Arial" w:hAnsi="Arial" w:cs="Arial"/>
                <w:sz w:val="20"/>
              </w:rPr>
            </w:pPr>
            <w:r w:rsidRPr="008827D4">
              <w:rPr>
                <w:rFonts w:ascii="Arial" w:hAnsi="Arial" w:cs="Arial"/>
                <w:sz w:val="20"/>
              </w:rPr>
              <w:t>Retrospective analysis of patient records for medication adherence and follow-up attendance</w:t>
            </w:r>
            <w:r>
              <w:rPr>
                <w:rFonts w:ascii="Arial" w:hAnsi="Arial" w:cs="Arial"/>
                <w:sz w:val="20"/>
              </w:rPr>
              <w:t>.</w:t>
            </w:r>
          </w:p>
        </w:tc>
        <w:tc>
          <w:tcPr>
            <w:tcW w:w="1620" w:type="dxa"/>
          </w:tcPr>
          <w:p w:rsidR="0001232C" w:rsidRPr="008827D4" w:rsidRDefault="0001232C" w:rsidP="00DE7221">
            <w:pPr>
              <w:rPr>
                <w:rFonts w:ascii="Arial" w:hAnsi="Arial" w:cs="Arial"/>
                <w:sz w:val="20"/>
              </w:rPr>
            </w:pPr>
            <w:r>
              <w:rPr>
                <w:rFonts w:ascii="Arial" w:hAnsi="Arial" w:cs="Arial"/>
                <w:sz w:val="20"/>
              </w:rPr>
              <w:t>Poor / None</w:t>
            </w:r>
          </w:p>
        </w:tc>
      </w:tr>
    </w:tbl>
    <w:p w:rsidR="0001232C" w:rsidRDefault="0001232C" w:rsidP="0001232C">
      <w:bookmarkStart w:id="0" w:name="_GoBack"/>
      <w:bookmarkEnd w:id="0"/>
    </w:p>
    <w:sectPr w:rsidR="0001232C" w:rsidSect="001F4D31">
      <w:headerReference w:type="default" r:id="rId9"/>
      <w:footerReference w:type="default" r:id="rId10"/>
      <w:pgSz w:w="15840" w:h="12240" w:orient="landscape"/>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03" w:rsidRDefault="00C76303">
      <w:r>
        <w:separator/>
      </w:r>
    </w:p>
  </w:endnote>
  <w:endnote w:type="continuationSeparator" w:id="0">
    <w:p w:rsidR="00C76303" w:rsidRDefault="00C7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1F4D31" w:rsidRDefault="001F4D31" w:rsidP="001F4D31">
        <w:pPr>
          <w:pStyle w:val="Footer"/>
          <w:jc w:val="center"/>
        </w:pPr>
        <w:r>
          <w:t>C-</w:t>
        </w:r>
        <w:r>
          <w:fldChar w:fldCharType="begin"/>
        </w:r>
        <w:r>
          <w:instrText xml:space="preserve"> PAGE   \* MERGEFORMAT </w:instrText>
        </w:r>
        <w:r>
          <w:fldChar w:fldCharType="separate"/>
        </w:r>
        <w:r>
          <w:rPr>
            <w:noProof/>
          </w:rPr>
          <w:t>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03" w:rsidRDefault="00C76303">
      <w:r>
        <w:separator/>
      </w:r>
    </w:p>
  </w:footnote>
  <w:footnote w:type="continuationSeparator" w:id="0">
    <w:p w:rsidR="00C76303" w:rsidRDefault="00C7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31" w:rsidRPr="008E765F" w:rsidRDefault="001F4D31" w:rsidP="001F4D31">
    <w:pPr>
      <w:rPr>
        <w:rFonts w:ascii="Arial" w:hAnsi="Arial" w:cs="Arial"/>
      </w:rPr>
    </w:pPr>
    <w:r w:rsidRPr="008E765F">
      <w:rPr>
        <w:rFonts w:ascii="Arial" w:hAnsi="Arial" w:cs="Arial"/>
        <w:b/>
      </w:rPr>
      <w:t>Preventing Mother-to-Child Transmission</w:t>
    </w:r>
  </w:p>
  <w:p w:rsidR="001F4D31" w:rsidRPr="001F4D31" w:rsidRDefault="001F4D31">
    <w:pPr>
      <w:pStyle w:val="Header"/>
      <w:rPr>
        <w:rFonts w:ascii="Arial" w:hAnsi="Arial" w:cs="Arial"/>
        <w:sz w:val="20"/>
        <w:szCs w:val="20"/>
      </w:rPr>
    </w:pPr>
    <w:r w:rsidRPr="000F4D26">
      <w:rPr>
        <w:rFonts w:ascii="Arial" w:hAnsi="Arial" w:cs="Arial"/>
        <w:sz w:val="20"/>
        <w:szCs w:val="20"/>
      </w:rPr>
      <w:t xml:space="preserve">Table </w:t>
    </w:r>
    <w:proofErr w:type="spellStart"/>
    <w:r w:rsidRPr="000F4D26">
      <w:rPr>
        <w:rFonts w:ascii="Arial" w:hAnsi="Arial" w:cs="Arial"/>
        <w:sz w:val="20"/>
        <w:szCs w:val="20"/>
      </w:rPr>
      <w:t>C.3.2</w:t>
    </w:r>
    <w:proofErr w:type="spellEnd"/>
    <w:r w:rsidRPr="000F4D26">
      <w:rPr>
        <w:rFonts w:ascii="Arial" w:hAnsi="Arial" w:cs="Arial"/>
        <w:sz w:val="20"/>
        <w:szCs w:val="20"/>
      </w:rPr>
      <w:t xml:space="preserve"> - Criterion Table for </w:t>
    </w:r>
    <w:proofErr w:type="spellStart"/>
    <w:r w:rsidRPr="000F4D26">
      <w:rPr>
        <w:rFonts w:ascii="Arial" w:hAnsi="Arial" w:cs="Arial"/>
        <w:sz w:val="20"/>
        <w:szCs w:val="20"/>
      </w:rPr>
      <w:t>Lussiana</w:t>
    </w:r>
    <w:proofErr w:type="spellEnd"/>
    <w:r w:rsidRPr="000F4D26">
      <w:rPr>
        <w:rFonts w:ascii="Arial" w:hAnsi="Arial" w:cs="Arial"/>
        <w:sz w:val="20"/>
        <w:szCs w:val="20"/>
      </w:rPr>
      <w:t xml:space="preserve">, 2012. Effectiveness of a Prevention of Mother-to-Child HIV Transmission </w:t>
    </w:r>
    <w:proofErr w:type="spellStart"/>
    <w:r w:rsidRPr="000F4D26">
      <w:rPr>
        <w:rFonts w:ascii="Arial" w:hAnsi="Arial" w:cs="Arial"/>
        <w:sz w:val="20"/>
        <w:szCs w:val="20"/>
      </w:rPr>
      <w:t>Programme</w:t>
    </w:r>
    <w:proofErr w:type="spellEnd"/>
    <w:r w:rsidRPr="000F4D26">
      <w:rPr>
        <w:rFonts w:ascii="Arial" w:hAnsi="Arial" w:cs="Arial"/>
        <w:sz w:val="20"/>
        <w:szCs w:val="20"/>
      </w:rPr>
      <w:t xml:space="preserve"> in an Urban Hospital in </w:t>
    </w:r>
    <w:proofErr w:type="spellStart"/>
    <w:r w:rsidRPr="000F4D26">
      <w:rPr>
        <w:rFonts w:ascii="Arial" w:hAnsi="Arial" w:cs="Arial"/>
        <w:sz w:val="20"/>
        <w:szCs w:val="20"/>
      </w:rPr>
      <w:t>Angola.</w:t>
    </w:r>
    <w:r w:rsidRPr="000F4D26">
      <w:rPr>
        <w:rFonts w:ascii="Arial" w:hAnsi="Arial" w:cs="Arial"/>
        <w:sz w:val="20"/>
        <w:szCs w:val="20"/>
        <w:vertAlign w:val="superscript"/>
      </w:rPr>
      <w:t>11</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4D31"/>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303"/>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7356-86E4-4337-B8A3-0242A274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1</TotalTime>
  <Pages>8</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8852</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2013-02-09T06:46:00Z</dcterms:modified>
</cp:coreProperties>
</file>