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Pr="003F6B62" w:rsidRDefault="00A72221" w:rsidP="00A72221">
      <w:pPr>
        <w:ind w:left="-540"/>
        <w:rPr>
          <w:rFonts w:ascii="Arial" w:hAnsi="Arial" w:cs="Arial"/>
          <w:b/>
          <w:sz w:val="20"/>
        </w:rPr>
      </w:pPr>
      <w:proofErr w:type="gramStart"/>
      <w:r w:rsidRPr="003F6B62">
        <w:rPr>
          <w:rFonts w:ascii="Arial" w:hAnsi="Arial" w:cs="Arial"/>
          <w:b/>
          <w:sz w:val="20"/>
        </w:rPr>
        <w:t>Evidence Table 14.</w:t>
      </w:r>
      <w:proofErr w:type="gramEnd"/>
      <w:r w:rsidRPr="003F6B62">
        <w:rPr>
          <w:rFonts w:ascii="Arial" w:hAnsi="Arial" w:cs="Arial"/>
          <w:b/>
          <w:sz w:val="20"/>
        </w:rPr>
        <w:t xml:space="preserve"> Participant characteristics for studies taking place in a school setting with home and community components</w:t>
      </w:r>
    </w:p>
    <w:tbl>
      <w:tblPr>
        <w:tblW w:w="179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76"/>
        <w:gridCol w:w="1785"/>
        <w:gridCol w:w="1710"/>
        <w:gridCol w:w="1980"/>
        <w:gridCol w:w="3240"/>
        <w:gridCol w:w="1530"/>
        <w:gridCol w:w="5040"/>
      </w:tblGrid>
      <w:tr w:rsidR="00A72221" w:rsidRPr="003F6B62" w:rsidTr="0072080A">
        <w:trPr>
          <w:tblHeader/>
        </w:trPr>
        <w:tc>
          <w:tcPr>
            <w:tcW w:w="1949" w:type="dxa"/>
            <w:shd w:val="clear" w:color="auto" w:fill="auto"/>
            <w:vAlign w:val="bottom"/>
            <w:hideMark/>
          </w:tcPr>
          <w:p w:rsidR="00A72221" w:rsidRPr="003F6B62" w:rsidRDefault="00A72221" w:rsidP="0072080A">
            <w:pPr>
              <w:rPr>
                <w:rFonts w:ascii="Arial" w:hAnsi="Arial" w:cs="Arial"/>
                <w:b/>
                <w:bCs/>
                <w:sz w:val="18"/>
                <w:szCs w:val="18"/>
              </w:rPr>
            </w:pPr>
            <w:r w:rsidRPr="003F6B62">
              <w:rPr>
                <w:rFonts w:ascii="Arial" w:hAnsi="Arial" w:cs="Arial"/>
                <w:b/>
                <w:bCs/>
                <w:sz w:val="18"/>
                <w:szCs w:val="18"/>
              </w:rPr>
              <w:t>Author, year</w:t>
            </w:r>
          </w:p>
        </w:tc>
        <w:tc>
          <w:tcPr>
            <w:tcW w:w="0" w:type="auto"/>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Total N</w:t>
            </w:r>
          </w:p>
        </w:tc>
        <w:tc>
          <w:tcPr>
            <w:tcW w:w="1785"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Follow-up period, weeks</w:t>
            </w:r>
          </w:p>
        </w:tc>
        <w:tc>
          <w:tcPr>
            <w:tcW w:w="1710"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Girls, N (%)</w:t>
            </w:r>
          </w:p>
        </w:tc>
        <w:tc>
          <w:tcPr>
            <w:tcW w:w="1980"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 xml:space="preserve">Age, </w:t>
            </w:r>
          </w:p>
          <w:p w:rsidR="00A72221" w:rsidRPr="003F6B62" w:rsidRDefault="00A72221" w:rsidP="0072080A">
            <w:pPr>
              <w:rPr>
                <w:rFonts w:ascii="Arial" w:hAnsi="Arial" w:cs="Arial"/>
                <w:b/>
                <w:bCs/>
                <w:sz w:val="18"/>
                <w:szCs w:val="18"/>
              </w:rPr>
            </w:pPr>
            <w:r w:rsidRPr="003F6B62">
              <w:rPr>
                <w:rFonts w:ascii="Arial" w:hAnsi="Arial" w:cs="Arial"/>
                <w:b/>
                <w:bCs/>
                <w:sz w:val="18"/>
                <w:szCs w:val="18"/>
              </w:rPr>
              <w:t>Mean (SD) unless otherwise labeled</w:t>
            </w:r>
          </w:p>
        </w:tc>
        <w:tc>
          <w:tcPr>
            <w:tcW w:w="3240"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Race, N (%)</w:t>
            </w:r>
          </w:p>
        </w:tc>
        <w:tc>
          <w:tcPr>
            <w:tcW w:w="1530"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Grade level, N (%)</w:t>
            </w:r>
          </w:p>
        </w:tc>
        <w:tc>
          <w:tcPr>
            <w:tcW w:w="5040" w:type="dxa"/>
            <w:vAlign w:val="bottom"/>
          </w:tcPr>
          <w:p w:rsidR="00A72221" w:rsidRPr="003F6B62" w:rsidRDefault="00A72221" w:rsidP="0072080A">
            <w:pPr>
              <w:rPr>
                <w:rFonts w:ascii="Arial" w:hAnsi="Arial" w:cs="Arial"/>
                <w:b/>
                <w:bCs/>
                <w:sz w:val="18"/>
                <w:szCs w:val="18"/>
              </w:rPr>
            </w:pPr>
            <w:r w:rsidRPr="003F6B62">
              <w:rPr>
                <w:rFonts w:ascii="Arial" w:hAnsi="Arial" w:cs="Arial"/>
                <w:b/>
                <w:bCs/>
                <w:sz w:val="18"/>
                <w:szCs w:val="18"/>
              </w:rPr>
              <w:t>Comments</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Angelopoulos,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ÿ\11\05‘\19\02\00\00\00\011\01\01\00\01\00\00\01\00\00\00\00\00\00\00\00\00\000éU\018\00\00\00\01\00\00\008\00\00\00Ðã\00\008\00\00\00Ó\11\00\00hC:\5CDocuments and Settings\5Crewilson\5CDesktop\5CChild Obesity Database_All Searches Deduped Final_12MAR12.pdt)Angelopoulos, Milionis, et al. 2009 #4573\00)\00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646</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65-73 weeks</w:t>
            </w: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Overall: 360</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Arm1</w:t>
            </w:r>
            <w:proofErr w:type="spellEnd"/>
            <w:r w:rsidRPr="003F6B62">
              <w:rPr>
                <w:rFonts w:ascii="Arial" w:hAnsi="Arial" w:cs="Arial"/>
                <w:sz w:val="18"/>
                <w:szCs w:val="18"/>
              </w:rPr>
              <w:t>: 176</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Arm2</w:t>
            </w:r>
            <w:proofErr w:type="spellEnd"/>
            <w:r w:rsidRPr="003F6B62">
              <w:rPr>
                <w:rFonts w:ascii="Arial" w:hAnsi="Arial" w:cs="Arial"/>
                <w:sz w:val="18"/>
                <w:szCs w:val="18"/>
              </w:rPr>
              <w:t>: 184</w:t>
            </w:r>
          </w:p>
        </w:tc>
        <w:tc>
          <w:tcPr>
            <w:tcW w:w="198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Arm1</w:t>
            </w:r>
            <w:proofErr w:type="spellEnd"/>
            <w:r w:rsidRPr="003F6B62">
              <w:rPr>
                <w:rFonts w:ascii="Arial" w:hAnsi="Arial" w:cs="Arial"/>
                <w:sz w:val="18"/>
                <w:szCs w:val="18"/>
              </w:rPr>
              <w:t>: 10.29 (0.44)</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Arm2</w:t>
            </w:r>
            <w:proofErr w:type="spellEnd"/>
            <w:r w:rsidRPr="003F6B62">
              <w:rPr>
                <w:rFonts w:ascii="Arial" w:hAnsi="Arial" w:cs="Arial"/>
                <w:sz w:val="18"/>
                <w:szCs w:val="18"/>
              </w:rPr>
              <w:t>: 10.25 (0.44)</w:t>
            </w:r>
          </w:p>
          <w:p w:rsidR="00A72221" w:rsidRPr="003F6B62" w:rsidRDefault="00A72221" w:rsidP="0072080A">
            <w:pPr>
              <w:rPr>
                <w:rFonts w:ascii="Arial" w:hAnsi="Arial" w:cs="Arial"/>
                <w:sz w:val="18"/>
                <w:szCs w:val="18"/>
              </w:rPr>
            </w:pP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5th grade</w:t>
            </w:r>
          </w:p>
          <w:p w:rsidR="00A72221" w:rsidRPr="003F6B62" w:rsidRDefault="00A72221" w:rsidP="0072080A">
            <w:pPr>
              <w:rPr>
                <w:rFonts w:ascii="Arial" w:hAnsi="Arial" w:cs="Arial"/>
                <w:sz w:val="18"/>
                <w:szCs w:val="18"/>
              </w:rPr>
            </w:pPr>
            <w:r w:rsidRPr="003F6B62">
              <w:rPr>
                <w:rFonts w:ascii="Arial" w:hAnsi="Arial" w:cs="Arial"/>
                <w:sz w:val="18"/>
                <w:szCs w:val="18"/>
              </w:rPr>
              <w:t>Overall: 646</w:t>
            </w:r>
          </w:p>
          <w:p w:rsidR="00A72221" w:rsidRPr="003F6B62" w:rsidRDefault="00A72221" w:rsidP="0072080A">
            <w:pPr>
              <w:rPr>
                <w:rFonts w:ascii="Arial" w:hAnsi="Arial" w:cs="Arial"/>
                <w:sz w:val="18"/>
                <w:szCs w:val="18"/>
              </w:rPr>
            </w:pPr>
            <w:r w:rsidRPr="003F6B62">
              <w:rPr>
                <w:rFonts w:ascii="Arial" w:hAnsi="Arial" w:cs="Arial"/>
                <w:sz w:val="18"/>
                <w:szCs w:val="18"/>
              </w:rPr>
              <w:t>Arm 1: 321</w:t>
            </w:r>
          </w:p>
          <w:p w:rsidR="00A72221" w:rsidRPr="003F6B62" w:rsidRDefault="00A72221" w:rsidP="0072080A">
            <w:pPr>
              <w:rPr>
                <w:rFonts w:ascii="Arial" w:hAnsi="Arial" w:cs="Arial"/>
                <w:sz w:val="18"/>
                <w:szCs w:val="18"/>
              </w:rPr>
            </w:pPr>
            <w:r w:rsidRPr="003F6B62">
              <w:rPr>
                <w:rFonts w:ascii="Arial" w:hAnsi="Arial" w:cs="Arial"/>
                <w:sz w:val="18"/>
                <w:szCs w:val="18"/>
              </w:rPr>
              <w:t>Arm 2: 325</w:t>
            </w:r>
          </w:p>
          <w:p w:rsidR="00A72221" w:rsidRPr="003F6B62" w:rsidRDefault="00A72221" w:rsidP="0072080A">
            <w:pPr>
              <w:rPr>
                <w:rFonts w:ascii="Arial" w:hAnsi="Arial" w:cs="Arial"/>
                <w:sz w:val="18"/>
                <w:szCs w:val="18"/>
              </w:rPr>
            </w:pPr>
          </w:p>
        </w:tc>
        <w:tc>
          <w:tcPr>
            <w:tcW w:w="5040" w:type="dxa"/>
          </w:tcPr>
          <w:p w:rsidR="00A72221" w:rsidRPr="003F6B62" w:rsidRDefault="00A72221" w:rsidP="0072080A">
            <w:pPr>
              <w:rPr>
                <w:rFonts w:ascii="Arial" w:hAnsi="Arial" w:cs="Arial"/>
                <w:sz w:val="18"/>
                <w:szCs w:val="18"/>
              </w:rPr>
            </w:pPr>
            <w:r w:rsidRPr="003F6B62">
              <w:rPr>
                <w:rFonts w:ascii="Arial" w:hAnsi="Arial" w:cs="Arial"/>
                <w:sz w:val="18"/>
                <w:szCs w:val="18"/>
              </w:rPr>
              <w:t>Note: Baseline was 1 to 2 months before intervention started. Social and demographic characteristics reported included School Region (Urban vs. Rural) Nationality (Greek vs. Immigrants), Parental Educational level, and Maternal Educational level, but there were no significant differences between the intervention and control groups.</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 xml:space="preserve">de </w:t>
            </w:r>
            <w:proofErr w:type="spellStart"/>
            <w:r w:rsidRPr="003F6B62">
              <w:rPr>
                <w:rFonts w:ascii="Arial" w:hAnsi="Arial" w:cs="Arial"/>
                <w:sz w:val="18"/>
                <w:szCs w:val="18"/>
              </w:rPr>
              <w:t>Meij</w:t>
            </w:r>
            <w:proofErr w:type="spellEnd"/>
            <w:r w:rsidRPr="003F6B62">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ÿ\11\05‘\19\02\00\00\00\013\01\01\00\01\00\00\01\00\00\00\00\00\00\00\00\00\00˜³É\008\00\00\00\01\00\00\008\00\00\00Ðã\00\008\00\00\00¨\05\00\00hC:\5CDocuments and Settings\5Crewilson\5CDesktop\5CChild Obesity Database_All Searches Deduped Final_12MAR12.pdt$de Meij, Chinapaw, et al. 2010 #1458\00$\00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2829</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34-86 weeks</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Overall:1404</w:t>
            </w:r>
            <w:proofErr w:type="spellEnd"/>
            <w:r w:rsidRPr="003F6B62">
              <w:rPr>
                <w:rFonts w:ascii="Arial" w:hAnsi="Arial" w:cs="Arial"/>
                <w:sz w:val="18"/>
                <w:szCs w:val="18"/>
              </w:rPr>
              <w:t xml:space="preserve"> (49.6)</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Arm1</w:t>
            </w:r>
            <w:proofErr w:type="spellEnd"/>
            <w:r w:rsidRPr="003F6B62">
              <w:rPr>
                <w:rFonts w:ascii="Arial" w:hAnsi="Arial" w:cs="Arial"/>
                <w:sz w:val="18"/>
                <w:szCs w:val="18"/>
              </w:rPr>
              <w:t>: 698 (49.7)</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Arm2</w:t>
            </w:r>
            <w:proofErr w:type="spellEnd"/>
            <w:r w:rsidRPr="003F6B62">
              <w:rPr>
                <w:rFonts w:ascii="Arial" w:hAnsi="Arial" w:cs="Arial"/>
                <w:sz w:val="18"/>
                <w:szCs w:val="18"/>
              </w:rPr>
              <w:t>: 706 (50.3)</w:t>
            </w:r>
          </w:p>
          <w:p w:rsidR="00A72221" w:rsidRPr="003F6B62" w:rsidRDefault="00A72221" w:rsidP="0072080A">
            <w:pPr>
              <w:rPr>
                <w:rFonts w:ascii="Arial" w:hAnsi="Arial" w:cs="Arial"/>
                <w:sz w:val="18"/>
                <w:szCs w:val="18"/>
              </w:rPr>
            </w:pPr>
          </w:p>
        </w:tc>
        <w:tc>
          <w:tcPr>
            <w:tcW w:w="198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Arm1</w:t>
            </w:r>
            <w:proofErr w:type="spellEnd"/>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Boys=8.6 (1.8)</w:t>
            </w:r>
          </w:p>
          <w:p w:rsidR="00A72221" w:rsidRPr="003F6B62" w:rsidRDefault="00A72221" w:rsidP="0072080A">
            <w:pPr>
              <w:rPr>
                <w:rFonts w:ascii="Arial" w:hAnsi="Arial" w:cs="Arial"/>
                <w:sz w:val="18"/>
                <w:szCs w:val="18"/>
              </w:rPr>
            </w:pPr>
            <w:r w:rsidRPr="003F6B62">
              <w:rPr>
                <w:rFonts w:ascii="Arial" w:hAnsi="Arial" w:cs="Arial"/>
                <w:sz w:val="18"/>
                <w:szCs w:val="18"/>
              </w:rPr>
              <w:t>Girls=8.5 (1.8)</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Arm2</w:t>
            </w:r>
            <w:proofErr w:type="spellEnd"/>
            <w:r w:rsidRPr="003F6B62">
              <w:rPr>
                <w:rFonts w:ascii="Arial" w:hAnsi="Arial" w:cs="Arial"/>
                <w:sz w:val="18"/>
                <w:szCs w:val="18"/>
              </w:rPr>
              <w:t xml:space="preserve">: </w:t>
            </w:r>
          </w:p>
          <w:p w:rsidR="00A72221" w:rsidRPr="003F6B62" w:rsidRDefault="00A72221" w:rsidP="0072080A">
            <w:pPr>
              <w:rPr>
                <w:rFonts w:ascii="Arial" w:hAnsi="Arial" w:cs="Arial"/>
                <w:sz w:val="18"/>
                <w:szCs w:val="18"/>
              </w:rPr>
            </w:pPr>
            <w:r w:rsidRPr="003F6B62">
              <w:rPr>
                <w:rFonts w:ascii="Arial" w:hAnsi="Arial" w:cs="Arial"/>
                <w:sz w:val="18"/>
                <w:szCs w:val="18"/>
              </w:rPr>
              <w:t>Boys=8.6 (1.9) Girls=8.5 (1.9)</w:t>
            </w: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Dutch</w:t>
            </w:r>
          </w:p>
          <w:p w:rsidR="00A72221" w:rsidRPr="003F6B62" w:rsidRDefault="00A72221" w:rsidP="0072080A">
            <w:pPr>
              <w:rPr>
                <w:rFonts w:ascii="Arial" w:hAnsi="Arial" w:cs="Arial"/>
                <w:sz w:val="18"/>
                <w:szCs w:val="18"/>
              </w:rPr>
            </w:pPr>
            <w:r w:rsidRPr="003F6B62">
              <w:rPr>
                <w:rFonts w:ascii="Arial" w:hAnsi="Arial" w:cs="Arial"/>
                <w:sz w:val="18"/>
                <w:szCs w:val="18"/>
              </w:rPr>
              <w:t>Overall: NR</w:t>
            </w:r>
          </w:p>
          <w:p w:rsidR="00A72221" w:rsidRPr="003F6B62" w:rsidRDefault="00A72221" w:rsidP="0072080A">
            <w:pPr>
              <w:rPr>
                <w:rFonts w:ascii="Arial" w:hAnsi="Arial" w:cs="Arial"/>
                <w:sz w:val="18"/>
                <w:szCs w:val="18"/>
              </w:rPr>
            </w:pPr>
            <w:r w:rsidRPr="003F6B62">
              <w:rPr>
                <w:rFonts w:ascii="Arial" w:hAnsi="Arial" w:cs="Arial"/>
                <w:sz w:val="18"/>
                <w:szCs w:val="18"/>
              </w:rPr>
              <w:t>Arm 1: (18.5)</w:t>
            </w:r>
          </w:p>
          <w:p w:rsidR="00A72221" w:rsidRPr="003F6B62" w:rsidRDefault="00A72221" w:rsidP="0072080A">
            <w:pPr>
              <w:rPr>
                <w:rFonts w:ascii="Arial" w:hAnsi="Arial" w:cs="Arial"/>
                <w:sz w:val="18"/>
                <w:szCs w:val="18"/>
              </w:rPr>
            </w:pPr>
            <w:r w:rsidRPr="003F6B62">
              <w:rPr>
                <w:rFonts w:ascii="Arial" w:hAnsi="Arial" w:cs="Arial"/>
                <w:sz w:val="18"/>
                <w:szCs w:val="18"/>
              </w:rPr>
              <w:t>Arm 2: (10.2)</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Moroccan</w:t>
            </w:r>
          </w:p>
          <w:p w:rsidR="00A72221" w:rsidRPr="003F6B62" w:rsidRDefault="00A72221" w:rsidP="0072080A">
            <w:pPr>
              <w:rPr>
                <w:rFonts w:ascii="Arial" w:hAnsi="Arial" w:cs="Arial"/>
                <w:sz w:val="18"/>
                <w:szCs w:val="18"/>
              </w:rPr>
            </w:pPr>
            <w:r w:rsidRPr="003F6B62">
              <w:rPr>
                <w:rFonts w:ascii="Arial" w:hAnsi="Arial" w:cs="Arial"/>
                <w:sz w:val="18"/>
                <w:szCs w:val="18"/>
              </w:rPr>
              <w:t>Overall: NR</w:t>
            </w:r>
          </w:p>
          <w:p w:rsidR="00A72221" w:rsidRPr="003F6B62" w:rsidRDefault="00A72221" w:rsidP="0072080A">
            <w:pPr>
              <w:rPr>
                <w:rFonts w:ascii="Arial" w:hAnsi="Arial" w:cs="Arial"/>
                <w:sz w:val="18"/>
                <w:szCs w:val="18"/>
              </w:rPr>
            </w:pPr>
            <w:r w:rsidRPr="003F6B62">
              <w:rPr>
                <w:rFonts w:ascii="Arial" w:hAnsi="Arial" w:cs="Arial"/>
                <w:sz w:val="18"/>
                <w:szCs w:val="18"/>
              </w:rPr>
              <w:t>Arm 1: (31.6)</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Arm 2: (30.0)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Turkish, Surinam, Western-other, Non-western other</w:t>
            </w:r>
          </w:p>
          <w:p w:rsidR="00A72221" w:rsidRPr="003F6B62" w:rsidRDefault="00A72221" w:rsidP="0072080A">
            <w:pPr>
              <w:rPr>
                <w:rFonts w:ascii="Arial" w:hAnsi="Arial" w:cs="Arial"/>
                <w:sz w:val="18"/>
                <w:szCs w:val="18"/>
              </w:rPr>
            </w:pPr>
            <w:r w:rsidRPr="003F6B62">
              <w:rPr>
                <w:rFonts w:ascii="Arial" w:hAnsi="Arial" w:cs="Arial"/>
                <w:sz w:val="18"/>
                <w:szCs w:val="18"/>
              </w:rPr>
              <w:t>Overall: NR</w:t>
            </w:r>
          </w:p>
          <w:p w:rsidR="00A72221" w:rsidRPr="003F6B62" w:rsidRDefault="00A72221" w:rsidP="0072080A">
            <w:pPr>
              <w:rPr>
                <w:rFonts w:ascii="Arial" w:hAnsi="Arial" w:cs="Arial"/>
                <w:sz w:val="18"/>
                <w:szCs w:val="18"/>
              </w:rPr>
            </w:pPr>
            <w:r w:rsidRPr="003F6B62">
              <w:rPr>
                <w:rFonts w:ascii="Arial" w:hAnsi="Arial" w:cs="Arial"/>
                <w:sz w:val="18"/>
                <w:szCs w:val="18"/>
              </w:rPr>
              <w:t>Arm 1: (49.9)</w:t>
            </w:r>
          </w:p>
          <w:p w:rsidR="00A72221" w:rsidRPr="003F6B62" w:rsidRDefault="00A72221" w:rsidP="0072080A">
            <w:pPr>
              <w:rPr>
                <w:rFonts w:ascii="Arial" w:hAnsi="Arial" w:cs="Arial"/>
                <w:sz w:val="18"/>
                <w:szCs w:val="18"/>
              </w:rPr>
            </w:pPr>
            <w:r w:rsidRPr="003F6B62">
              <w:rPr>
                <w:rFonts w:ascii="Arial" w:hAnsi="Arial" w:cs="Arial"/>
                <w:sz w:val="18"/>
                <w:szCs w:val="18"/>
              </w:rPr>
              <w:t>Arm 2: (59.7)</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r w:rsidRPr="003F6B62">
              <w:rPr>
                <w:rFonts w:ascii="Arial" w:hAnsi="Arial" w:cs="Arial"/>
                <w:sz w:val="18"/>
                <w:szCs w:val="18"/>
              </w:rPr>
              <w:t>At baseline, there was a significant difference in waist circumference for intervention girls compared to control girls (62.1 (9.4) compared to 61.0 (8.5), respectively P=0.05).</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Greening,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ÿ\11\05‘\19\02\00\00\00\014\01\01\00\01\00\00\01\00\00\00\00\00\00\00\00\00\00 éU\018\00\00\00\01\00\00\008\00\00\00Ðã\00\008\00\00\00¿\04\00\00hC:\5CDocuments and Settings\5Crewilson\5CDesktop\5CChild Obesity Database_All Searches Deduped Final_12MAR12.pdt$Greening, Harrell, et al. 2011 #1225\00$\00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450</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34 weeks</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Overall: (48)</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Overall: 8.34 (1.30)</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Range: 6-10 </w:t>
            </w:r>
          </w:p>
          <w:p w:rsidR="00A72221" w:rsidRPr="003F6B62" w:rsidRDefault="00A72221" w:rsidP="0072080A">
            <w:pPr>
              <w:rPr>
                <w:rFonts w:ascii="Arial" w:hAnsi="Arial" w:cs="Arial"/>
                <w:sz w:val="18"/>
                <w:szCs w:val="18"/>
              </w:rPr>
            </w:pP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White, non-Hispanic</w:t>
            </w:r>
          </w:p>
          <w:p w:rsidR="00A72221" w:rsidRPr="003F6B62" w:rsidRDefault="00A72221" w:rsidP="0072080A">
            <w:pPr>
              <w:rPr>
                <w:rFonts w:ascii="Arial" w:hAnsi="Arial" w:cs="Arial"/>
                <w:sz w:val="18"/>
                <w:szCs w:val="18"/>
              </w:rPr>
            </w:pPr>
            <w:r w:rsidRPr="003F6B62">
              <w:rPr>
                <w:rFonts w:ascii="Arial" w:hAnsi="Arial" w:cs="Arial"/>
                <w:sz w:val="18"/>
                <w:szCs w:val="18"/>
              </w:rPr>
              <w:t>Arm 1: 37</w:t>
            </w:r>
          </w:p>
          <w:p w:rsidR="00A72221" w:rsidRPr="003F6B62" w:rsidRDefault="00A72221" w:rsidP="0072080A">
            <w:pPr>
              <w:rPr>
                <w:rFonts w:ascii="Arial" w:hAnsi="Arial" w:cs="Arial"/>
                <w:sz w:val="18"/>
                <w:szCs w:val="18"/>
              </w:rPr>
            </w:pPr>
            <w:r w:rsidRPr="003F6B62">
              <w:rPr>
                <w:rFonts w:ascii="Arial" w:hAnsi="Arial" w:cs="Arial"/>
                <w:sz w:val="18"/>
                <w:szCs w:val="18"/>
              </w:rPr>
              <w:t>Arm 2: 42</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Black, non-Hispanic</w:t>
            </w:r>
          </w:p>
          <w:p w:rsidR="00A72221" w:rsidRPr="003F6B62" w:rsidRDefault="00A72221" w:rsidP="0072080A">
            <w:pPr>
              <w:rPr>
                <w:rFonts w:ascii="Arial" w:hAnsi="Arial" w:cs="Arial"/>
                <w:sz w:val="18"/>
                <w:szCs w:val="18"/>
              </w:rPr>
            </w:pPr>
            <w:r w:rsidRPr="003F6B62">
              <w:rPr>
                <w:rFonts w:ascii="Arial" w:hAnsi="Arial" w:cs="Arial"/>
                <w:sz w:val="18"/>
                <w:szCs w:val="18"/>
              </w:rPr>
              <w:t>Arm 1: (63)</w:t>
            </w:r>
          </w:p>
          <w:p w:rsidR="00A72221" w:rsidRPr="003F6B62" w:rsidRDefault="00A72221" w:rsidP="0072080A">
            <w:pPr>
              <w:rPr>
                <w:rFonts w:ascii="Arial" w:hAnsi="Arial" w:cs="Arial"/>
                <w:sz w:val="18"/>
                <w:szCs w:val="18"/>
              </w:rPr>
            </w:pPr>
            <w:r w:rsidRPr="003F6B62">
              <w:rPr>
                <w:rFonts w:ascii="Arial" w:hAnsi="Arial" w:cs="Arial"/>
                <w:sz w:val="18"/>
                <w:szCs w:val="18"/>
              </w:rPr>
              <w:t>Arm 2: (58)</w:t>
            </w:r>
          </w:p>
          <w:p w:rsidR="00A72221" w:rsidRPr="003F6B62" w:rsidRDefault="00A72221" w:rsidP="0072080A">
            <w:pPr>
              <w:rPr>
                <w:rFonts w:ascii="Arial" w:hAnsi="Arial" w:cs="Arial"/>
                <w:sz w:val="18"/>
                <w:szCs w:val="18"/>
              </w:rPr>
            </w:pP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r w:rsidRPr="003F6B62">
              <w:rPr>
                <w:rFonts w:ascii="Arial" w:hAnsi="Arial" w:cs="Arial"/>
                <w:sz w:val="18"/>
                <w:szCs w:val="18"/>
              </w:rPr>
              <w:t>Schools and not individuals were randomized to the two Arms</w:t>
            </w:r>
            <w:r w:rsidRPr="003F6B62">
              <w:rPr>
                <w:rFonts w:ascii="Arial" w:hAnsi="Arial" w:cs="Arial"/>
                <w:sz w:val="18"/>
                <w:szCs w:val="18"/>
              </w:rPr>
              <w:br/>
            </w:r>
            <w:r w:rsidRPr="003F6B62">
              <w:rPr>
                <w:rFonts w:ascii="Arial" w:hAnsi="Arial" w:cs="Arial"/>
                <w:sz w:val="18"/>
                <w:szCs w:val="18"/>
              </w:rPr>
              <w:br/>
              <w:t>The participating schools were the only two schools in their respective communities, precluding testing additional schools in the community.</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Jansen,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ÿ\11\05‘\19\02\00\00\00\015\01\01\00\01\00\00\01\00\00\00\00\00\00\00\00\00\00héU\018\00\00\00\01\00\00\008\00\00\00Ðã\00\008\00\00\00!C\00\00hC:\5CDocuments and Settings\5Crewilson\5CDesktop\5CChild Obesity Database_All Searches Deduped Final_12MAR12.pdt$Jansen, Borsboom, et al. 2011 #20189\00$\00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2622</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39 weeks</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They reported sex by grade.</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For grades 3-5: </w:t>
            </w:r>
          </w:p>
          <w:p w:rsidR="00A72221" w:rsidRPr="003F6B62" w:rsidRDefault="00A72221" w:rsidP="0072080A">
            <w:pPr>
              <w:rPr>
                <w:rFonts w:ascii="Arial" w:hAnsi="Arial" w:cs="Arial"/>
                <w:sz w:val="18"/>
                <w:szCs w:val="18"/>
              </w:rPr>
            </w:pPr>
            <w:r w:rsidRPr="003F6B62">
              <w:rPr>
                <w:rFonts w:ascii="Arial" w:hAnsi="Arial" w:cs="Arial"/>
                <w:sz w:val="18"/>
                <w:szCs w:val="18"/>
              </w:rPr>
              <w:t>Arm 1: (51)</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Arm 2: (50.5) </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 xml:space="preserve">For grades 6-8: </w:t>
            </w:r>
          </w:p>
          <w:p w:rsidR="00A72221" w:rsidRPr="003F6B62" w:rsidRDefault="00A72221" w:rsidP="0072080A">
            <w:pPr>
              <w:rPr>
                <w:rFonts w:ascii="Arial" w:hAnsi="Arial" w:cs="Arial"/>
                <w:sz w:val="18"/>
                <w:szCs w:val="18"/>
              </w:rPr>
            </w:pPr>
            <w:r w:rsidRPr="003F6B62">
              <w:rPr>
                <w:rFonts w:ascii="Arial" w:hAnsi="Arial" w:cs="Arial"/>
                <w:sz w:val="18"/>
                <w:szCs w:val="18"/>
              </w:rPr>
              <w:t xml:space="preserve">Arm 1: (49) </w:t>
            </w:r>
          </w:p>
          <w:p w:rsidR="00A72221" w:rsidRPr="003F6B62" w:rsidRDefault="00A72221" w:rsidP="0072080A">
            <w:pPr>
              <w:rPr>
                <w:rFonts w:ascii="Arial" w:hAnsi="Arial" w:cs="Arial"/>
                <w:sz w:val="18"/>
                <w:szCs w:val="18"/>
              </w:rPr>
            </w:pPr>
            <w:r w:rsidRPr="003F6B62">
              <w:rPr>
                <w:rFonts w:ascii="Arial" w:hAnsi="Arial" w:cs="Arial"/>
                <w:sz w:val="18"/>
                <w:szCs w:val="18"/>
              </w:rPr>
              <w:t>Arm 2: (47.2)</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3240" w:type="dxa"/>
          </w:tcPr>
          <w:p w:rsidR="00A72221" w:rsidRPr="003F6B62" w:rsidRDefault="00A72221" w:rsidP="0072080A">
            <w:pPr>
              <w:rPr>
                <w:rFonts w:ascii="Arial" w:hAnsi="Arial" w:cs="Arial"/>
                <w:sz w:val="18"/>
                <w:szCs w:val="18"/>
              </w:rPr>
            </w:pP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Grades 3-5</w:t>
            </w:r>
          </w:p>
          <w:p w:rsidR="00A72221" w:rsidRPr="003F6B62" w:rsidRDefault="00A72221" w:rsidP="0072080A">
            <w:pPr>
              <w:rPr>
                <w:rFonts w:ascii="Arial" w:hAnsi="Arial" w:cs="Arial"/>
                <w:sz w:val="18"/>
                <w:szCs w:val="18"/>
              </w:rPr>
            </w:pPr>
            <w:r w:rsidRPr="003F6B62">
              <w:rPr>
                <w:rFonts w:ascii="Arial" w:hAnsi="Arial" w:cs="Arial"/>
                <w:sz w:val="18"/>
                <w:szCs w:val="18"/>
              </w:rPr>
              <w:t>Arm 1: 729</w:t>
            </w:r>
          </w:p>
          <w:p w:rsidR="00A72221" w:rsidRPr="003F6B62" w:rsidRDefault="00A72221" w:rsidP="0072080A">
            <w:pPr>
              <w:rPr>
                <w:rFonts w:ascii="Arial" w:hAnsi="Arial" w:cs="Arial"/>
                <w:sz w:val="18"/>
                <w:szCs w:val="18"/>
              </w:rPr>
            </w:pPr>
            <w:r w:rsidRPr="003F6B62">
              <w:rPr>
                <w:rFonts w:ascii="Arial" w:hAnsi="Arial" w:cs="Arial"/>
                <w:sz w:val="18"/>
                <w:szCs w:val="18"/>
              </w:rPr>
              <w:t>Arm 2: 657</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Grades 6-8</w:t>
            </w:r>
          </w:p>
          <w:p w:rsidR="00A72221" w:rsidRPr="003F6B62" w:rsidRDefault="00A72221" w:rsidP="0072080A">
            <w:pPr>
              <w:rPr>
                <w:rFonts w:ascii="Arial" w:hAnsi="Arial" w:cs="Arial"/>
                <w:sz w:val="18"/>
                <w:szCs w:val="18"/>
              </w:rPr>
            </w:pPr>
            <w:r w:rsidRPr="003F6B62">
              <w:rPr>
                <w:rFonts w:ascii="Arial" w:hAnsi="Arial" w:cs="Arial"/>
                <w:sz w:val="18"/>
                <w:szCs w:val="18"/>
              </w:rPr>
              <w:t>Arm 1: 653</w:t>
            </w:r>
          </w:p>
          <w:p w:rsidR="00A72221" w:rsidRPr="003F6B62" w:rsidRDefault="00A72221" w:rsidP="0072080A">
            <w:pPr>
              <w:rPr>
                <w:rFonts w:ascii="Arial" w:hAnsi="Arial" w:cs="Arial"/>
                <w:sz w:val="18"/>
                <w:szCs w:val="18"/>
              </w:rPr>
            </w:pPr>
            <w:r w:rsidRPr="003F6B62">
              <w:rPr>
                <w:rFonts w:ascii="Arial" w:hAnsi="Arial" w:cs="Arial"/>
                <w:sz w:val="18"/>
                <w:szCs w:val="18"/>
              </w:rPr>
              <w:t>Arm 2: 583</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tc>
        <w:tc>
          <w:tcPr>
            <w:tcW w:w="5040" w:type="dxa"/>
          </w:tcPr>
          <w:p w:rsidR="00A72221" w:rsidRPr="003F6B62" w:rsidRDefault="00A72221" w:rsidP="0072080A">
            <w:pPr>
              <w:rPr>
                <w:rFonts w:ascii="Arial" w:hAnsi="Arial" w:cs="Arial"/>
                <w:sz w:val="18"/>
                <w:szCs w:val="18"/>
              </w:rPr>
            </w:pP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Sanigorski</w:t>
            </w:r>
            <w:proofErr w:type="spellEnd"/>
            <w:r w:rsidRPr="003F6B62">
              <w:rPr>
                <w:rFonts w:ascii="Arial" w:hAnsi="Arial" w:cs="Arial"/>
                <w:sz w:val="18"/>
                <w:szCs w:val="18"/>
              </w:rPr>
              <w:t>,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ÿ\11\05‘\19\02\00\00\00\016\01\01\00\01\00\00\01\00\00\00\00\00\00\00\00\00\00ð”C\018\00\00\00\01\00\00\008\00\00\00Ðã\00\008\00\00\00î\15\00\00hC:\5CDocuments and Settings\5Crewilson\5CDesktop\5CChild Obesity Database_All Searches Deduped Final_12MAR12.pdt#Sanigorski, Bell, et al. 2008 #5624\00#\00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r w:rsidRPr="003F6B62">
              <w:rPr>
                <w:rFonts w:ascii="Arial" w:hAnsi="Arial" w:cs="Arial"/>
                <w:sz w:val="18"/>
                <w:szCs w:val="18"/>
              </w:rPr>
              <w:t>The study says that children were measured in 2003/2004 (baseline) and again in 2006 (follow-up). The follow-up time can only be extrapolated from this as we do not have a good idea of when the measurements took place in 2003 and 2006.</w:t>
            </w:r>
          </w:p>
        </w:tc>
        <w:tc>
          <w:tcPr>
            <w:tcW w:w="171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lastRenderedPageBreak/>
              <w:t>Arm1</w:t>
            </w:r>
            <w:proofErr w:type="spellEnd"/>
            <w:r w:rsidRPr="003F6B62">
              <w:rPr>
                <w:rFonts w:ascii="Arial" w:hAnsi="Arial" w:cs="Arial"/>
                <w:sz w:val="18"/>
                <w:szCs w:val="18"/>
              </w:rPr>
              <w:t>: (53.6)</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lastRenderedPageBreak/>
              <w:t>Arm2</w:t>
            </w:r>
            <w:proofErr w:type="spellEnd"/>
            <w:r w:rsidRPr="003F6B62">
              <w:rPr>
                <w:rFonts w:ascii="Arial" w:hAnsi="Arial" w:cs="Arial"/>
                <w:sz w:val="18"/>
                <w:szCs w:val="18"/>
              </w:rPr>
              <w:t>: (50.2)</w:t>
            </w:r>
          </w:p>
        </w:tc>
        <w:tc>
          <w:tcPr>
            <w:tcW w:w="198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lastRenderedPageBreak/>
              <w:t>Arm1</w:t>
            </w:r>
            <w:proofErr w:type="spellEnd"/>
            <w:r w:rsidRPr="003F6B62">
              <w:rPr>
                <w:rFonts w:ascii="Arial" w:hAnsi="Arial" w:cs="Arial"/>
                <w:sz w:val="18"/>
                <w:szCs w:val="18"/>
              </w:rPr>
              <w:t>: 8.34 (2.22)</w:t>
            </w:r>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lastRenderedPageBreak/>
              <w:t>Arm2</w:t>
            </w:r>
            <w:proofErr w:type="spellEnd"/>
            <w:r w:rsidRPr="003F6B62">
              <w:rPr>
                <w:rFonts w:ascii="Arial" w:hAnsi="Arial" w:cs="Arial"/>
                <w:sz w:val="18"/>
                <w:szCs w:val="18"/>
              </w:rPr>
              <w:t>: 8.21 (2.26)</w:t>
            </w:r>
          </w:p>
          <w:p w:rsidR="00A72221" w:rsidRPr="003F6B62" w:rsidRDefault="00A72221" w:rsidP="0072080A">
            <w:pPr>
              <w:rPr>
                <w:rFonts w:ascii="Arial" w:hAnsi="Arial" w:cs="Arial"/>
                <w:sz w:val="18"/>
                <w:szCs w:val="18"/>
              </w:rPr>
            </w:pPr>
          </w:p>
        </w:tc>
        <w:tc>
          <w:tcPr>
            <w:tcW w:w="3240" w:type="dxa"/>
          </w:tcPr>
          <w:p w:rsidR="00A72221" w:rsidRPr="003F6B62" w:rsidRDefault="00A72221" w:rsidP="0072080A">
            <w:pPr>
              <w:rPr>
                <w:rFonts w:ascii="Arial" w:hAnsi="Arial" w:cs="Arial"/>
                <w:sz w:val="18"/>
                <w:szCs w:val="18"/>
              </w:rPr>
            </w:pP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Height significantly differed (P=0.01) between the two </w:t>
            </w:r>
            <w:r w:rsidRPr="003F6B62">
              <w:rPr>
                <w:rFonts w:ascii="Arial" w:hAnsi="Arial" w:cs="Arial"/>
                <w:sz w:val="18"/>
                <w:szCs w:val="18"/>
              </w:rPr>
              <w:lastRenderedPageBreak/>
              <w:t>groups: 130.5 cm vs. 128.9 cm for Arm 1 (control) vs. Arm 2 (intervention), respectively.</w:t>
            </w:r>
            <w:r w:rsidRPr="003F6B62">
              <w:rPr>
                <w:rFonts w:ascii="Arial" w:hAnsi="Arial" w:cs="Arial"/>
                <w:sz w:val="18"/>
                <w:szCs w:val="18"/>
              </w:rPr>
              <w:br/>
            </w:r>
            <w:r w:rsidRPr="003F6B62">
              <w:rPr>
                <w:rFonts w:ascii="Arial" w:hAnsi="Arial" w:cs="Arial"/>
                <w:sz w:val="18"/>
                <w:szCs w:val="18"/>
              </w:rPr>
              <w:br/>
              <w:t>Data reported in the form above are only for children who consented to data collection, not the total number who participated.</w:t>
            </w:r>
            <w:r w:rsidRPr="003F6B62">
              <w:rPr>
                <w:rFonts w:ascii="Arial" w:hAnsi="Arial" w:cs="Arial"/>
                <w:sz w:val="18"/>
                <w:szCs w:val="18"/>
              </w:rPr>
              <w:br/>
            </w:r>
            <w:r w:rsidRPr="003F6B62">
              <w:rPr>
                <w:rFonts w:ascii="Arial" w:hAnsi="Arial" w:cs="Arial"/>
                <w:sz w:val="18"/>
                <w:szCs w:val="18"/>
              </w:rPr>
              <w:br/>
              <w:t xml:space="preserve">For Arm 1 (control), a total of 2687 were originally allocated to the control group but data reported here are for the 1183 </w:t>
            </w:r>
            <w:proofErr w:type="gramStart"/>
            <w:r w:rsidRPr="003F6B62">
              <w:rPr>
                <w:rFonts w:ascii="Arial" w:hAnsi="Arial" w:cs="Arial"/>
                <w:sz w:val="18"/>
                <w:szCs w:val="18"/>
              </w:rPr>
              <w:t>who</w:t>
            </w:r>
            <w:proofErr w:type="gramEnd"/>
            <w:r w:rsidRPr="003F6B62">
              <w:rPr>
                <w:rFonts w:ascii="Arial" w:hAnsi="Arial" w:cs="Arial"/>
                <w:sz w:val="18"/>
                <w:szCs w:val="18"/>
              </w:rPr>
              <w:t xml:space="preserve"> consented to data collection. 974 were analyzed (follow-up).</w:t>
            </w:r>
            <w:r w:rsidRPr="003F6B62">
              <w:rPr>
                <w:rFonts w:ascii="Arial" w:hAnsi="Arial" w:cs="Arial"/>
                <w:sz w:val="18"/>
                <w:szCs w:val="18"/>
              </w:rPr>
              <w:br/>
            </w:r>
            <w:r w:rsidRPr="003F6B62">
              <w:rPr>
                <w:rFonts w:ascii="Arial" w:hAnsi="Arial" w:cs="Arial"/>
                <w:sz w:val="18"/>
                <w:szCs w:val="18"/>
              </w:rPr>
              <w:br/>
              <w:t>For Arm 2, a total of 1726 children were originally allocated to the intervention group, but only 1001 consented to data collection. 883 were analyzed (follow-up).</w:t>
            </w:r>
            <w:r w:rsidRPr="003F6B62">
              <w:rPr>
                <w:rFonts w:ascii="Arial" w:hAnsi="Arial" w:cs="Arial"/>
                <w:sz w:val="18"/>
                <w:szCs w:val="18"/>
              </w:rPr>
              <w:br/>
            </w:r>
            <w:r w:rsidRPr="003F6B62">
              <w:rPr>
                <w:rFonts w:ascii="Arial" w:hAnsi="Arial" w:cs="Arial"/>
                <w:sz w:val="18"/>
                <w:szCs w:val="18"/>
              </w:rPr>
              <w:br/>
              <w:t xml:space="preserve">Baseline age and gender were reported for the entire baseline sample (1183 in arm 1 and 1001 in </w:t>
            </w:r>
            <w:proofErr w:type="spellStart"/>
            <w:r w:rsidRPr="003F6B62">
              <w:rPr>
                <w:rFonts w:ascii="Arial" w:hAnsi="Arial" w:cs="Arial"/>
                <w:sz w:val="18"/>
                <w:szCs w:val="18"/>
              </w:rPr>
              <w:t>arm2</w:t>
            </w:r>
            <w:proofErr w:type="spellEnd"/>
            <w:r w:rsidRPr="003F6B62">
              <w:rPr>
                <w:rFonts w:ascii="Arial" w:hAnsi="Arial" w:cs="Arial"/>
                <w:sz w:val="18"/>
                <w:szCs w:val="18"/>
              </w:rPr>
              <w:t>). For those continued in follow-up, age is 10.31(2.14) and 11.13 (2.17) in arm 1 and arm 2; % girl is 49.1% and 53.7% in arm 1 and 2.</w:t>
            </w:r>
            <w:r w:rsidRPr="003F6B62">
              <w:rPr>
                <w:rFonts w:ascii="Arial" w:hAnsi="Arial" w:cs="Arial"/>
                <w:sz w:val="18"/>
                <w:szCs w:val="18"/>
              </w:rPr>
              <w:br/>
            </w:r>
            <w:r w:rsidRPr="003F6B62">
              <w:rPr>
                <w:rFonts w:ascii="Arial" w:hAnsi="Arial" w:cs="Arial"/>
                <w:sz w:val="18"/>
                <w:szCs w:val="18"/>
              </w:rPr>
              <w:br/>
              <w:t>Please note that the study does report the education level and SES of the parents.</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lastRenderedPageBreak/>
              <w:t>Millar,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ÿ\11\05‘\19\02\00\00\00\017\01\01\00\01\00\00\01\00\00\00\00\00\00\00\00\00\00ˆãU\018\00\00\00\01\00\00\008\00\00\00Ðã\00\008\00\00\00\0BŽ\00\00hC:\5CDocuments and Settings\5Crewilson\5CDesktop\5CChild Obesity Database_All Searches Deduped Final_12MAR12.pdt"Millar, Kremer, et al. 2011 #52662\00"\00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2054</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p w:rsidR="00A72221" w:rsidRPr="003F6B62" w:rsidRDefault="00A72221" w:rsidP="0072080A">
            <w:pPr>
              <w:rPr>
                <w:rFonts w:ascii="Arial" w:hAnsi="Arial" w:cs="Arial"/>
                <w:sz w:val="18"/>
                <w:szCs w:val="18"/>
              </w:rPr>
            </w:pP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Overall: (46.5)</w:t>
            </w:r>
          </w:p>
        </w:tc>
        <w:tc>
          <w:tcPr>
            <w:tcW w:w="198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Overall:14.6</w:t>
            </w:r>
            <w:proofErr w:type="spellEnd"/>
            <w:r w:rsidRPr="003F6B62">
              <w:rPr>
                <w:rFonts w:ascii="Arial" w:hAnsi="Arial" w:cs="Arial"/>
                <w:sz w:val="18"/>
                <w:szCs w:val="18"/>
              </w:rPr>
              <w:t xml:space="preserve"> (1.42) </w:t>
            </w: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 xml:space="preserve"> NR</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Naul</w:t>
            </w:r>
            <w:proofErr w:type="spellEnd"/>
            <w:r w:rsidRPr="003F6B62">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ÿ\11\05‘\19\02\00\00\00\018\01\01\00\01\00\00\01\00\00\00\00\00\00\00\00\00\000ÆU\018\00\00\00\01\00\00\008\00\00\00Ðã\00\008\00\00\00¤‹\00\00hC:\5CDocuments and Settings\5Crewilson\5CDesktop\5CChild Obesity Database_All Searches Deduped Final_12MAR12.pdt!Naul, Schmelt, et al. 2012 #51975\00!\00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557</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208 weeks</w:t>
            </w:r>
          </w:p>
          <w:p w:rsidR="00A72221" w:rsidRPr="003F6B62" w:rsidRDefault="00A72221" w:rsidP="0072080A">
            <w:pPr>
              <w:rPr>
                <w:rFonts w:ascii="Arial" w:hAnsi="Arial" w:cs="Arial"/>
                <w:sz w:val="18"/>
                <w:szCs w:val="18"/>
              </w:rPr>
            </w:pP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r w:rsidRPr="003F6B62">
              <w:rPr>
                <w:rFonts w:ascii="Arial" w:hAnsi="Arial" w:cs="Arial"/>
                <w:sz w:val="18"/>
                <w:szCs w:val="18"/>
              </w:rPr>
              <w:t>The data was divided into 261 participants from Germany and 296 from the Netherlands.</w:t>
            </w: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 xml:space="preserve">De </w:t>
            </w:r>
            <w:proofErr w:type="spellStart"/>
            <w:r w:rsidRPr="003F6B62">
              <w:rPr>
                <w:rFonts w:ascii="Arial" w:hAnsi="Arial" w:cs="Arial"/>
                <w:sz w:val="18"/>
                <w:szCs w:val="18"/>
              </w:rPr>
              <w:t>Coen</w:t>
            </w:r>
            <w:proofErr w:type="spellEnd"/>
            <w:r w:rsidRPr="003F6B62">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ÿ\11\05‘\19\02\00\00\00\012\01\01\00\01\00\00\01\00\00\00\00\00\00\00\00\00\00àÄU\018\00\00\00\01\00\00\008\00\00\00Ðã\00\008\00\00\00Ä‹\00\00hC:\5CDocuments and Settings\5Crewilson\5CDesktop\5CChild Obesity Database_All Searches Deduped Final_12MAR12.pdt-De Coen, De Bourdeaudhuij, et al. 2012 #52009\00-\00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3241</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104 weeks</w:t>
            </w:r>
          </w:p>
        </w:tc>
        <w:tc>
          <w:tcPr>
            <w:tcW w:w="1710" w:type="dxa"/>
          </w:tcPr>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Overall:50</w:t>
            </w:r>
            <w:proofErr w:type="spellEnd"/>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Arm1:54.7</w:t>
            </w:r>
            <w:proofErr w:type="spellEnd"/>
          </w:p>
          <w:p w:rsidR="00A72221" w:rsidRPr="003F6B62" w:rsidRDefault="00A72221" w:rsidP="0072080A">
            <w:pPr>
              <w:rPr>
                <w:rFonts w:ascii="Arial" w:hAnsi="Arial" w:cs="Arial"/>
                <w:sz w:val="18"/>
                <w:szCs w:val="18"/>
              </w:rPr>
            </w:pPr>
            <w:proofErr w:type="spellStart"/>
            <w:r w:rsidRPr="003F6B62">
              <w:rPr>
                <w:rFonts w:ascii="Arial" w:hAnsi="Arial" w:cs="Arial"/>
                <w:sz w:val="18"/>
                <w:szCs w:val="18"/>
              </w:rPr>
              <w:t>Arm2:47.1</w:t>
            </w:r>
            <w:proofErr w:type="spellEnd"/>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p>
        </w:tc>
      </w:tr>
      <w:tr w:rsidR="00A72221" w:rsidRPr="003F6B62" w:rsidTr="0072080A">
        <w:tc>
          <w:tcPr>
            <w:tcW w:w="1949" w:type="dxa"/>
            <w:shd w:val="clear" w:color="auto" w:fill="auto"/>
          </w:tcPr>
          <w:p w:rsidR="00A72221" w:rsidRPr="003F6B62" w:rsidRDefault="00A72221" w:rsidP="0072080A">
            <w:pPr>
              <w:rPr>
                <w:rFonts w:ascii="Arial" w:hAnsi="Arial" w:cs="Arial"/>
                <w:sz w:val="18"/>
                <w:szCs w:val="18"/>
              </w:rPr>
            </w:pPr>
            <w:r w:rsidRPr="003F6B62">
              <w:rPr>
                <w:rFonts w:ascii="Arial" w:hAnsi="Arial" w:cs="Arial"/>
                <w:sz w:val="18"/>
                <w:szCs w:val="18"/>
              </w:rPr>
              <w:t>Tomlin,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1D767D">
              <w:rPr>
                <w:rFonts w:ascii="Arial" w:hAnsi="Arial" w:cs="Arial"/>
                <w:vanish/>
                <w:sz w:val="18"/>
                <w:szCs w:val="18"/>
              </w:rPr>
              <w:fldChar w:fldCharType="begin"/>
            </w:r>
            <w:r w:rsidRPr="001D767D">
              <w:rPr>
                <w:rFonts w:ascii="Arial" w:hAnsi="Arial" w:cs="Arial"/>
                <w:vanish/>
                <w:sz w:val="18"/>
                <w:szCs w:val="18"/>
              </w:rPr>
              <w:instrText xml:space="preserve"> ADDIN PROCITE ÿ\11\05‘\19\02\00\00\00\019\01\01\00\01\00\00\01\00\00\00\00\00\00\00\00\00\00Ø#;\018\00\00\00\01\00\00\008\00\00\00Ðã\00\008\00\00\00)‹\00\00hC:\5CDocuments and Settings\5Crewilson\5CDesktop\5CChild Obesity Database_All Searches Deduped Final_12MAR12.pdt"Tomlin, Naylor, et al. 2012 #51843\00"\00 </w:instrText>
            </w:r>
            <w:r w:rsidR="005A215D" w:rsidRPr="001D767D">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p w:rsidR="00A72221" w:rsidRPr="003F6B62" w:rsidRDefault="00A72221" w:rsidP="0072080A">
            <w:pPr>
              <w:rPr>
                <w:rFonts w:ascii="Arial" w:hAnsi="Arial" w:cs="Arial"/>
                <w:sz w:val="18"/>
                <w:szCs w:val="18"/>
              </w:rPr>
            </w:pPr>
          </w:p>
        </w:tc>
        <w:tc>
          <w:tcPr>
            <w:tcW w:w="0" w:type="auto"/>
          </w:tcPr>
          <w:p w:rsidR="00A72221" w:rsidRPr="003F6B62" w:rsidRDefault="00A72221" w:rsidP="0072080A">
            <w:pPr>
              <w:rPr>
                <w:rFonts w:ascii="Arial" w:hAnsi="Arial" w:cs="Arial"/>
                <w:sz w:val="18"/>
                <w:szCs w:val="18"/>
              </w:rPr>
            </w:pPr>
            <w:r w:rsidRPr="003F6B62">
              <w:rPr>
                <w:rFonts w:ascii="Arial" w:hAnsi="Arial" w:cs="Arial"/>
                <w:sz w:val="18"/>
                <w:szCs w:val="18"/>
              </w:rPr>
              <w:t>148</w:t>
            </w:r>
          </w:p>
        </w:tc>
        <w:tc>
          <w:tcPr>
            <w:tcW w:w="1785" w:type="dxa"/>
          </w:tcPr>
          <w:p w:rsidR="00A72221" w:rsidRPr="003F6B62" w:rsidRDefault="00A72221" w:rsidP="0072080A">
            <w:pPr>
              <w:rPr>
                <w:rFonts w:ascii="Arial" w:hAnsi="Arial" w:cs="Arial"/>
                <w:sz w:val="18"/>
                <w:szCs w:val="18"/>
              </w:rPr>
            </w:pPr>
            <w:r w:rsidRPr="003F6B62">
              <w:rPr>
                <w:rFonts w:ascii="Arial" w:hAnsi="Arial" w:cs="Arial"/>
                <w:sz w:val="18"/>
                <w:szCs w:val="18"/>
              </w:rPr>
              <w:t>28 weeks</w:t>
            </w:r>
          </w:p>
        </w:tc>
        <w:tc>
          <w:tcPr>
            <w:tcW w:w="171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98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324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1530" w:type="dxa"/>
          </w:tcPr>
          <w:p w:rsidR="00A72221" w:rsidRPr="003F6B62" w:rsidRDefault="00A72221" w:rsidP="0072080A">
            <w:pPr>
              <w:rPr>
                <w:rFonts w:ascii="Arial" w:hAnsi="Arial" w:cs="Arial"/>
                <w:sz w:val="18"/>
                <w:szCs w:val="18"/>
              </w:rPr>
            </w:pPr>
            <w:r w:rsidRPr="003F6B62">
              <w:rPr>
                <w:rFonts w:ascii="Arial" w:hAnsi="Arial" w:cs="Arial"/>
                <w:sz w:val="18"/>
                <w:szCs w:val="18"/>
              </w:rPr>
              <w:t>NR</w:t>
            </w:r>
          </w:p>
        </w:tc>
        <w:tc>
          <w:tcPr>
            <w:tcW w:w="5040" w:type="dxa"/>
          </w:tcPr>
          <w:p w:rsidR="00A72221" w:rsidRPr="003F6B62" w:rsidRDefault="00A72221" w:rsidP="0072080A">
            <w:pPr>
              <w:rPr>
                <w:rFonts w:ascii="Arial" w:hAnsi="Arial" w:cs="Arial"/>
                <w:sz w:val="18"/>
                <w:szCs w:val="18"/>
              </w:rPr>
            </w:pPr>
          </w:p>
        </w:tc>
      </w:tr>
    </w:tbl>
    <w:p w:rsidR="00A72221" w:rsidRPr="003F6B62" w:rsidRDefault="00A72221" w:rsidP="00A72221">
      <w:pPr>
        <w:ind w:left="-540"/>
        <w:rPr>
          <w:rFonts w:ascii="Times New Roman" w:hAnsi="Times New Roman"/>
          <w:sz w:val="18"/>
          <w:szCs w:val="18"/>
        </w:rPr>
      </w:pPr>
      <w:r w:rsidRPr="003F6B62">
        <w:rPr>
          <w:rFonts w:ascii="Times New Roman" w:hAnsi="Times New Roman"/>
          <w:sz w:val="18"/>
          <w:szCs w:val="18"/>
        </w:rPr>
        <w:t>Cm = Centimeters; N = Sample Size; NR = Not Reported; P = P-value; SD = Standard Deviation; SES = Social-Economic Status</w:t>
      </w:r>
    </w:p>
    <w:p w:rsidR="00A72221" w:rsidRPr="003F6B62" w:rsidRDefault="00A72221" w:rsidP="00A72221">
      <w:pPr>
        <w:rPr>
          <w:rFonts w:ascii="Times New Roman" w:hAnsi="Times New Roman"/>
          <w:sz w:val="18"/>
          <w:szCs w:val="18"/>
        </w:rPr>
      </w:pPr>
    </w:p>
    <w:p w:rsidR="00A72221" w:rsidRPr="003F6B62" w:rsidRDefault="00A72221" w:rsidP="00A72221">
      <w:pPr>
        <w:rPr>
          <w:rFonts w:ascii="Times New Roman" w:hAnsi="Times New Roman"/>
          <w:sz w:val="18"/>
          <w:szCs w:val="18"/>
        </w:rPr>
      </w:pPr>
    </w:p>
    <w:p w:rsidR="00A72221" w:rsidRDefault="00A72221" w:rsidP="00A72221">
      <w:pPr>
        <w:rPr>
          <w:rFonts w:ascii="Times New Roman" w:hAnsi="Times New Roman"/>
          <w:sz w:val="18"/>
          <w:szCs w:val="18"/>
        </w:rPr>
      </w:pPr>
    </w:p>
    <w:p w:rsidR="00A72221" w:rsidRPr="003F6B62" w:rsidRDefault="00A72221" w:rsidP="00A72221">
      <w:pPr>
        <w:rPr>
          <w:rFonts w:ascii="Times New Roman" w:hAnsi="Times New Roman"/>
          <w:sz w:val="18"/>
          <w:szCs w:val="18"/>
        </w:rPr>
      </w:pPr>
    </w:p>
    <w:p w:rsidR="00A72221" w:rsidRPr="003F6B62" w:rsidRDefault="00A72221" w:rsidP="00A72221">
      <w:pPr>
        <w:rPr>
          <w:rFonts w:ascii="Times New Roman" w:hAnsi="Times New Roman"/>
          <w:sz w:val="18"/>
          <w:szCs w:val="18"/>
        </w:rPr>
      </w:pPr>
      <w:bookmarkStart w:id="0" w:name="_GoBack"/>
      <w:bookmarkEnd w:id="0"/>
    </w:p>
    <w:sectPr w:rsidR="00A72221" w:rsidRPr="003F6B62" w:rsidSect="0052751E">
      <w:footerReference w:type="default" r:id="rId9"/>
      <w:type w:val="continuous"/>
      <w:pgSz w:w="20160" w:h="12240" w:orient="landscape" w:code="5"/>
      <w:pgMar w:top="1440" w:right="1440" w:bottom="1440" w:left="1440" w:header="720" w:footer="720" w:gutter="0"/>
      <w:pgNumType w:start="3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F8" w:rsidRDefault="00411CF8">
      <w:r>
        <w:separator/>
      </w:r>
    </w:p>
  </w:endnote>
  <w:endnote w:type="continuationSeparator" w:id="0">
    <w:p w:rsidR="00411CF8" w:rsidRDefault="0041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1E" w:rsidRDefault="0052751E" w:rsidP="0052751E">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312</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F8" w:rsidRDefault="00411CF8">
      <w:r>
        <w:separator/>
      </w:r>
    </w:p>
  </w:footnote>
  <w:footnote w:type="continuationSeparator" w:id="0">
    <w:p w:rsidR="00411CF8" w:rsidRDefault="00411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B0"/>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04E5"/>
    <w:rsid w:val="00411CF8"/>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2751E"/>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B60F-7C65-4141-A8A4-3B1FC419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6592</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2013-07-04T04:59:00Z</dcterms:modified>
</cp:coreProperties>
</file>