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6"/>
        <w:gridCol w:w="1242"/>
        <w:gridCol w:w="904"/>
        <w:gridCol w:w="1296"/>
        <w:gridCol w:w="1296"/>
        <w:gridCol w:w="2016"/>
        <w:gridCol w:w="1890"/>
        <w:gridCol w:w="2160"/>
        <w:gridCol w:w="2448"/>
        <w:gridCol w:w="806"/>
      </w:tblGrid>
      <w:tr w:rsidR="00CF127C" w:rsidRPr="00CE585D" w:rsidTr="0084105C">
        <w:trPr>
          <w:cantSplit/>
          <w:tblHeader/>
        </w:trPr>
        <w:tc>
          <w:tcPr>
            <w:tcW w:w="936" w:type="dxa"/>
            <w:vAlign w:val="bottom"/>
          </w:tcPr>
          <w:p w:rsidR="00CF127C" w:rsidRPr="00CE585D" w:rsidRDefault="00CF127C" w:rsidP="0084105C">
            <w:pPr>
              <w:spacing w:after="60"/>
              <w:jc w:val="center"/>
              <w:rPr>
                <w:b/>
                <w:sz w:val="18"/>
                <w:szCs w:val="18"/>
              </w:rPr>
            </w:pPr>
            <w:r>
              <w:rPr>
                <w:b/>
                <w:sz w:val="18"/>
                <w:szCs w:val="18"/>
              </w:rPr>
              <w:t>A</w:t>
            </w:r>
            <w:r w:rsidRPr="00CE585D">
              <w:rPr>
                <w:b/>
                <w:sz w:val="18"/>
                <w:szCs w:val="18"/>
              </w:rPr>
              <w:t>uthor, Year</w:t>
            </w:r>
          </w:p>
        </w:tc>
        <w:tc>
          <w:tcPr>
            <w:tcW w:w="1242" w:type="dxa"/>
            <w:vAlign w:val="bottom"/>
          </w:tcPr>
          <w:p w:rsidR="00CF127C" w:rsidRPr="00CE585D" w:rsidRDefault="00CF127C" w:rsidP="0084105C">
            <w:pPr>
              <w:spacing w:after="60"/>
              <w:jc w:val="center"/>
              <w:rPr>
                <w:b/>
                <w:sz w:val="18"/>
                <w:szCs w:val="18"/>
              </w:rPr>
            </w:pPr>
            <w:r>
              <w:rPr>
                <w:b/>
                <w:sz w:val="18"/>
                <w:szCs w:val="18"/>
              </w:rPr>
              <w:t>Leader of Engagement</w:t>
            </w:r>
          </w:p>
        </w:tc>
        <w:tc>
          <w:tcPr>
            <w:tcW w:w="904" w:type="dxa"/>
            <w:vAlign w:val="bottom"/>
          </w:tcPr>
          <w:p w:rsidR="00CF127C" w:rsidRPr="00CE585D" w:rsidRDefault="00CF127C" w:rsidP="0084105C">
            <w:pPr>
              <w:spacing w:after="60"/>
              <w:rPr>
                <w:b/>
                <w:sz w:val="18"/>
                <w:szCs w:val="18"/>
              </w:rPr>
            </w:pPr>
            <w:r w:rsidRPr="00CE585D">
              <w:rPr>
                <w:b/>
                <w:sz w:val="18"/>
                <w:szCs w:val="18"/>
              </w:rPr>
              <w:t>Study Location</w:t>
            </w:r>
          </w:p>
        </w:tc>
        <w:tc>
          <w:tcPr>
            <w:tcW w:w="1296" w:type="dxa"/>
            <w:vAlign w:val="bottom"/>
          </w:tcPr>
          <w:p w:rsidR="00CF127C" w:rsidRPr="00CE585D" w:rsidRDefault="00CF127C" w:rsidP="0084105C">
            <w:pPr>
              <w:spacing w:after="60"/>
              <w:jc w:val="center"/>
              <w:rPr>
                <w:b/>
                <w:sz w:val="18"/>
                <w:szCs w:val="18"/>
              </w:rPr>
            </w:pPr>
            <w:r w:rsidRPr="00CE585D">
              <w:rPr>
                <w:b/>
                <w:sz w:val="18"/>
                <w:szCs w:val="18"/>
              </w:rPr>
              <w:t>Study design</w:t>
            </w:r>
          </w:p>
        </w:tc>
        <w:tc>
          <w:tcPr>
            <w:tcW w:w="1296" w:type="dxa"/>
            <w:vAlign w:val="bottom"/>
          </w:tcPr>
          <w:p w:rsidR="00CF127C" w:rsidRPr="00CE585D" w:rsidRDefault="00CF127C" w:rsidP="0084105C">
            <w:pPr>
              <w:spacing w:after="60"/>
              <w:jc w:val="center"/>
              <w:rPr>
                <w:b/>
                <w:sz w:val="18"/>
                <w:szCs w:val="18"/>
              </w:rPr>
            </w:pPr>
            <w:r w:rsidRPr="00CE585D">
              <w:rPr>
                <w:b/>
                <w:sz w:val="18"/>
                <w:szCs w:val="18"/>
              </w:rPr>
              <w:t>Type of mass casualty event</w:t>
            </w:r>
          </w:p>
        </w:tc>
        <w:tc>
          <w:tcPr>
            <w:tcW w:w="2016" w:type="dxa"/>
            <w:vAlign w:val="bottom"/>
          </w:tcPr>
          <w:p w:rsidR="00CF127C" w:rsidRPr="00CE585D" w:rsidRDefault="00CF127C" w:rsidP="0084105C">
            <w:pPr>
              <w:spacing w:after="60"/>
              <w:jc w:val="center"/>
              <w:rPr>
                <w:b/>
                <w:sz w:val="18"/>
                <w:szCs w:val="18"/>
              </w:rPr>
            </w:pPr>
            <w:r w:rsidRPr="00CE585D">
              <w:rPr>
                <w:b/>
                <w:sz w:val="18"/>
                <w:szCs w:val="18"/>
              </w:rPr>
              <w:t>Engagement Strategy</w:t>
            </w:r>
          </w:p>
        </w:tc>
        <w:tc>
          <w:tcPr>
            <w:tcW w:w="1890" w:type="dxa"/>
            <w:vAlign w:val="bottom"/>
          </w:tcPr>
          <w:p w:rsidR="00CF127C" w:rsidRPr="00CE585D" w:rsidRDefault="00CF127C" w:rsidP="0084105C">
            <w:pPr>
              <w:spacing w:after="60"/>
              <w:jc w:val="center"/>
              <w:rPr>
                <w:b/>
                <w:sz w:val="18"/>
                <w:szCs w:val="18"/>
              </w:rPr>
            </w:pPr>
            <w:r w:rsidRPr="00CE585D">
              <w:rPr>
                <w:b/>
                <w:sz w:val="18"/>
                <w:szCs w:val="18"/>
              </w:rPr>
              <w:t>Who Engaged Whom</w:t>
            </w:r>
          </w:p>
        </w:tc>
        <w:tc>
          <w:tcPr>
            <w:tcW w:w="2160" w:type="dxa"/>
            <w:vAlign w:val="bottom"/>
          </w:tcPr>
          <w:p w:rsidR="00CF127C" w:rsidRPr="00CE585D" w:rsidRDefault="00CF127C" w:rsidP="0084105C">
            <w:pPr>
              <w:spacing w:after="60"/>
              <w:jc w:val="center"/>
              <w:rPr>
                <w:b/>
                <w:sz w:val="18"/>
                <w:szCs w:val="18"/>
              </w:rPr>
            </w:pPr>
            <w:r w:rsidRPr="00CE585D">
              <w:rPr>
                <w:b/>
                <w:sz w:val="18"/>
                <w:szCs w:val="18"/>
              </w:rPr>
              <w:t>Findings (Outcome)</w:t>
            </w:r>
          </w:p>
        </w:tc>
        <w:tc>
          <w:tcPr>
            <w:tcW w:w="2448" w:type="dxa"/>
            <w:vAlign w:val="bottom"/>
          </w:tcPr>
          <w:p w:rsidR="00CF127C" w:rsidRPr="00CE585D" w:rsidRDefault="00CF127C" w:rsidP="0084105C">
            <w:pPr>
              <w:spacing w:after="60"/>
              <w:jc w:val="center"/>
              <w:rPr>
                <w:b/>
                <w:sz w:val="18"/>
                <w:szCs w:val="18"/>
              </w:rPr>
            </w:pPr>
            <w:r w:rsidRPr="00CE585D">
              <w:rPr>
                <w:b/>
                <w:sz w:val="18"/>
                <w:szCs w:val="18"/>
              </w:rPr>
              <w:t>Outcome Modulators</w:t>
            </w:r>
          </w:p>
          <w:p w:rsidR="00CF127C" w:rsidRPr="00CE585D" w:rsidRDefault="00CF127C" w:rsidP="0084105C">
            <w:pPr>
              <w:spacing w:after="60"/>
              <w:jc w:val="center"/>
              <w:rPr>
                <w:b/>
                <w:sz w:val="18"/>
                <w:szCs w:val="18"/>
              </w:rPr>
            </w:pPr>
            <w:r w:rsidRPr="00CE585D">
              <w:rPr>
                <w:b/>
                <w:sz w:val="18"/>
                <w:szCs w:val="18"/>
              </w:rPr>
              <w:t>(Facilitators or Barriers)</w:t>
            </w:r>
          </w:p>
        </w:tc>
        <w:tc>
          <w:tcPr>
            <w:tcW w:w="806" w:type="dxa"/>
            <w:vAlign w:val="bottom"/>
          </w:tcPr>
          <w:p w:rsidR="00CF127C" w:rsidRPr="00CE585D" w:rsidRDefault="00CF127C" w:rsidP="0084105C">
            <w:pPr>
              <w:spacing w:after="60"/>
              <w:jc w:val="center"/>
              <w:rPr>
                <w:b/>
                <w:sz w:val="18"/>
                <w:szCs w:val="18"/>
              </w:rPr>
            </w:pPr>
            <w:r w:rsidRPr="00CE585D">
              <w:rPr>
                <w:b/>
                <w:sz w:val="18"/>
                <w:szCs w:val="18"/>
              </w:rPr>
              <w:t>Quality score (of 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Albanese, 2007</w:t>
            </w:r>
            <w:r w:rsidRPr="0023334B">
              <w:rPr>
                <w:noProof/>
                <w:sz w:val="18"/>
                <w:szCs w:val="18"/>
                <w:vertAlign w:val="superscript"/>
              </w:rPr>
              <w:t>153</w:t>
            </w:r>
          </w:p>
        </w:tc>
        <w:tc>
          <w:tcPr>
            <w:tcW w:w="1242" w:type="dxa"/>
          </w:tcPr>
          <w:p w:rsidR="00CF127C" w:rsidRPr="00CE585D" w:rsidRDefault="00CF127C" w:rsidP="0084105C">
            <w:pPr>
              <w:spacing w:before="60"/>
              <w:ind w:left="116" w:hanging="116"/>
              <w:rPr>
                <w:sz w:val="18"/>
                <w:szCs w:val="18"/>
              </w:rPr>
            </w:pPr>
            <w:r>
              <w:rPr>
                <w:sz w:val="18"/>
                <w:szCs w:val="18"/>
              </w:rPr>
              <w:t>Providers</w:t>
            </w:r>
          </w:p>
        </w:tc>
        <w:tc>
          <w:tcPr>
            <w:tcW w:w="904" w:type="dxa"/>
          </w:tcPr>
          <w:p w:rsidR="00CF127C" w:rsidRPr="00CE585D" w:rsidRDefault="00CF127C" w:rsidP="0084105C">
            <w:pPr>
              <w:spacing w:before="60"/>
              <w:rPr>
                <w:sz w:val="18"/>
                <w:szCs w:val="18"/>
              </w:rPr>
            </w:pPr>
            <w:r w:rsidRPr="00CE585D">
              <w:rPr>
                <w:sz w:val="18"/>
                <w:szCs w:val="18"/>
              </w:rPr>
              <w:t>CT (state level)</w:t>
            </w:r>
          </w:p>
        </w:tc>
        <w:tc>
          <w:tcPr>
            <w:tcW w:w="1296" w:type="dxa"/>
          </w:tcPr>
          <w:p w:rsidR="00CF127C" w:rsidRPr="00CE585D" w:rsidRDefault="00CF127C" w:rsidP="0084105C">
            <w:pPr>
              <w:spacing w:before="60"/>
              <w:rPr>
                <w:sz w:val="18"/>
                <w:szCs w:val="18"/>
              </w:rPr>
            </w:pPr>
            <w:r w:rsidRPr="00CE585D">
              <w:rPr>
                <w:sz w:val="18"/>
                <w:szCs w:val="18"/>
              </w:rPr>
              <w:t>Observational, 2 post-tests</w:t>
            </w:r>
          </w:p>
        </w:tc>
        <w:tc>
          <w:tcPr>
            <w:tcW w:w="1296" w:type="dxa"/>
          </w:tcPr>
          <w:p w:rsidR="00CF127C" w:rsidRPr="00CE585D" w:rsidRDefault="00CF127C" w:rsidP="0084105C">
            <w:pPr>
              <w:spacing w:before="60"/>
              <w:jc w:val="center"/>
              <w:rPr>
                <w:sz w:val="18"/>
                <w:szCs w:val="18"/>
              </w:rPr>
            </w:pPr>
            <w:r w:rsidRPr="00CE585D">
              <w:rPr>
                <w:sz w:val="18"/>
                <w:szCs w:val="18"/>
              </w:rPr>
              <w:t>Radiological,  nuclear</w:t>
            </w:r>
          </w:p>
        </w:tc>
        <w:tc>
          <w:tcPr>
            <w:tcW w:w="2016" w:type="dxa"/>
          </w:tcPr>
          <w:p w:rsidR="00CF127C" w:rsidRPr="00CE585D" w:rsidRDefault="00CF127C" w:rsidP="0084105C">
            <w:pPr>
              <w:spacing w:before="60"/>
              <w:rPr>
                <w:sz w:val="18"/>
                <w:szCs w:val="18"/>
              </w:rPr>
            </w:pPr>
            <w:r w:rsidRPr="00CE585D">
              <w:rPr>
                <w:sz w:val="18"/>
                <w:szCs w:val="18"/>
              </w:rPr>
              <w:t>Enrollment, education, training and exercise of qualified laboratory staff for preparing biodosimetry specimens (to test radiation exposure)</w:t>
            </w:r>
          </w:p>
        </w:tc>
        <w:tc>
          <w:tcPr>
            <w:tcW w:w="1890" w:type="dxa"/>
          </w:tcPr>
          <w:p w:rsidR="00CF127C" w:rsidRPr="00CE585D" w:rsidRDefault="00CF127C" w:rsidP="0084105C">
            <w:pPr>
              <w:spacing w:before="60"/>
              <w:rPr>
                <w:sz w:val="18"/>
                <w:szCs w:val="18"/>
              </w:rPr>
            </w:pPr>
            <w:r w:rsidRPr="00CE585D">
              <w:rPr>
                <w:sz w:val="18"/>
                <w:szCs w:val="18"/>
              </w:rPr>
              <w:t xml:space="preserve">State biodosimetry laboratory </w:t>
            </w:r>
            <w:r w:rsidRPr="00CE585D">
              <w:rPr>
                <w:i/>
                <w:sz w:val="18"/>
                <w:szCs w:val="18"/>
              </w:rPr>
              <w:t xml:space="preserve">engaged </w:t>
            </w:r>
            <w:r w:rsidRPr="00CE585D">
              <w:rPr>
                <w:sz w:val="18"/>
                <w:szCs w:val="18"/>
              </w:rPr>
              <w:t>hospital and commercial laboratories statewide</w:t>
            </w:r>
          </w:p>
        </w:tc>
        <w:tc>
          <w:tcPr>
            <w:tcW w:w="2160" w:type="dxa"/>
          </w:tcPr>
          <w:p w:rsidR="00CF127C" w:rsidRPr="00CE585D" w:rsidRDefault="00CF127C" w:rsidP="0084105C">
            <w:pPr>
              <w:spacing w:before="60"/>
              <w:ind w:left="173" w:hanging="187"/>
              <w:rPr>
                <w:sz w:val="18"/>
                <w:szCs w:val="18"/>
              </w:rPr>
            </w:pPr>
            <w:r w:rsidRPr="00CE585D">
              <w:rPr>
                <w:sz w:val="18"/>
                <w:szCs w:val="18"/>
              </w:rPr>
              <w:t>Augmentation of critical laboratory capacity, skills retained 6 months after training (functional drill):</w:t>
            </w:r>
          </w:p>
          <w:p w:rsidR="00CF127C" w:rsidRPr="00CE585D" w:rsidRDefault="00CF127C" w:rsidP="0084105C">
            <w:pPr>
              <w:ind w:left="162" w:hanging="180"/>
              <w:rPr>
                <w:sz w:val="18"/>
                <w:szCs w:val="18"/>
              </w:rPr>
            </w:pPr>
            <w:r w:rsidRPr="00CE585D">
              <w:rPr>
                <w:sz w:val="18"/>
                <w:szCs w:val="18"/>
              </w:rPr>
              <w:t xml:space="preserve">30 of 33 labs were qualified; </w:t>
            </w:r>
          </w:p>
          <w:p w:rsidR="00CF127C" w:rsidRPr="00CE585D" w:rsidRDefault="00CF127C" w:rsidP="0084105C">
            <w:pPr>
              <w:ind w:left="162" w:hanging="180"/>
              <w:rPr>
                <w:sz w:val="18"/>
                <w:szCs w:val="18"/>
              </w:rPr>
            </w:pPr>
            <w:r w:rsidRPr="00CE585D">
              <w:rPr>
                <w:sz w:val="18"/>
                <w:szCs w:val="18"/>
              </w:rPr>
              <w:t>Staff in 30 labs were trained</w:t>
            </w:r>
          </w:p>
          <w:p w:rsidR="00CF127C" w:rsidRPr="00CE585D" w:rsidRDefault="00CF127C" w:rsidP="0084105C">
            <w:pPr>
              <w:ind w:left="162" w:hanging="180"/>
              <w:rPr>
                <w:sz w:val="18"/>
                <w:szCs w:val="18"/>
              </w:rPr>
            </w:pPr>
            <w:r w:rsidRPr="00CE585D">
              <w:rPr>
                <w:sz w:val="18"/>
                <w:szCs w:val="18"/>
              </w:rPr>
              <w:t xml:space="preserve">22 of 30 labs volunteered to participate in surge network </w:t>
            </w:r>
          </w:p>
          <w:p w:rsidR="00CF127C" w:rsidRPr="00CE585D" w:rsidRDefault="00CF127C" w:rsidP="0084105C">
            <w:pPr>
              <w:ind w:left="162" w:hanging="180"/>
              <w:rPr>
                <w:sz w:val="18"/>
                <w:szCs w:val="18"/>
              </w:rPr>
            </w:pPr>
            <w:r w:rsidRPr="00CE585D">
              <w:rPr>
                <w:sz w:val="18"/>
                <w:szCs w:val="18"/>
              </w:rPr>
              <w:t xml:space="preserve">79 personnel trained to date in 19 of these labs </w:t>
            </w:r>
          </w:p>
          <w:p w:rsidR="00CF127C" w:rsidRPr="00CE585D" w:rsidRDefault="00CF127C" w:rsidP="0084105C">
            <w:pPr>
              <w:ind w:left="162" w:hanging="180"/>
              <w:rPr>
                <w:sz w:val="18"/>
                <w:szCs w:val="18"/>
              </w:rPr>
            </w:pPr>
            <w:r w:rsidRPr="00CE585D">
              <w:rPr>
                <w:sz w:val="18"/>
                <w:szCs w:val="18"/>
              </w:rPr>
              <w:t>37 participated in drill: (a) every specimen met standards; (b) average turnaround time (specimen preparation) = 199 minutes</w:t>
            </w:r>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most laboratories were already qualified because of existing equipment; education allayed safety concerns</w:t>
            </w:r>
          </w:p>
          <w:p w:rsidR="00CF127C" w:rsidRPr="00CE585D" w:rsidRDefault="00CF127C" w:rsidP="0084105C">
            <w:pPr>
              <w:spacing w:before="120"/>
              <w:rPr>
                <w:sz w:val="18"/>
                <w:szCs w:val="18"/>
              </w:rPr>
            </w:pPr>
            <w:r w:rsidRPr="00CE585D">
              <w:rPr>
                <w:i/>
                <w:sz w:val="18"/>
                <w:szCs w:val="18"/>
              </w:rPr>
              <w:t xml:space="preserve">Barrier: </w:t>
            </w:r>
            <w:r w:rsidRPr="00CE585D">
              <w:rPr>
                <w:sz w:val="18"/>
                <w:szCs w:val="18"/>
              </w:rPr>
              <w:t>Many laboratories had safety concerns (before training)</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Dayton, 2008</w:t>
            </w:r>
            <w:r w:rsidRPr="0023334B">
              <w:rPr>
                <w:noProof/>
                <w:sz w:val="18"/>
                <w:szCs w:val="18"/>
                <w:vertAlign w:val="superscript"/>
              </w:rPr>
              <w:t>193</w:t>
            </w:r>
          </w:p>
        </w:tc>
        <w:tc>
          <w:tcPr>
            <w:tcW w:w="1242" w:type="dxa"/>
          </w:tcPr>
          <w:p w:rsidR="00CF127C" w:rsidRPr="00CE585D" w:rsidRDefault="00CF127C" w:rsidP="0084105C">
            <w:pPr>
              <w:spacing w:before="60"/>
              <w:ind w:left="116" w:hanging="116"/>
              <w:rPr>
                <w:sz w:val="18"/>
                <w:szCs w:val="18"/>
              </w:rPr>
            </w:pPr>
            <w:r>
              <w:rPr>
                <w:sz w:val="18"/>
                <w:szCs w:val="18"/>
              </w:rPr>
              <w:t>Providers</w:t>
            </w:r>
          </w:p>
        </w:tc>
        <w:tc>
          <w:tcPr>
            <w:tcW w:w="904" w:type="dxa"/>
          </w:tcPr>
          <w:p w:rsidR="00CF127C" w:rsidRPr="00CE585D" w:rsidRDefault="00CF127C" w:rsidP="0084105C">
            <w:pPr>
              <w:spacing w:before="60"/>
              <w:rPr>
                <w:sz w:val="18"/>
                <w:szCs w:val="18"/>
              </w:rPr>
            </w:pPr>
            <w:r w:rsidRPr="00CE585D">
              <w:rPr>
                <w:sz w:val="18"/>
                <w:szCs w:val="18"/>
              </w:rPr>
              <w:t xml:space="preserve">Central </w:t>
            </w:r>
            <w:smartTag w:uri="urn:schemas-microsoft-com:office:smarttags" w:element="place">
              <w:smartTag w:uri="urn:schemas-microsoft-com:office:smarttags" w:element="City">
                <w:r w:rsidRPr="00CE585D">
                  <w:rPr>
                    <w:sz w:val="18"/>
                    <w:szCs w:val="18"/>
                  </w:rPr>
                  <w:t>Brooklyn</w:t>
                </w:r>
              </w:smartTag>
              <w:r w:rsidRPr="00CE585D">
                <w:rPr>
                  <w:sz w:val="18"/>
                  <w:szCs w:val="18"/>
                </w:rPr>
                <w:t xml:space="preserve">, </w:t>
              </w:r>
              <w:smartTag w:uri="urn:schemas-microsoft-com:office:smarttags" w:element="State">
                <w:r w:rsidRPr="00CE585D">
                  <w:rPr>
                    <w:sz w:val="18"/>
                    <w:szCs w:val="18"/>
                  </w:rPr>
                  <w:t>NY</w:t>
                </w:r>
              </w:smartTag>
            </w:smartTag>
          </w:p>
        </w:tc>
        <w:tc>
          <w:tcPr>
            <w:tcW w:w="1296" w:type="dxa"/>
          </w:tcPr>
          <w:p w:rsidR="00CF127C" w:rsidRPr="00CE585D" w:rsidRDefault="00CF127C" w:rsidP="0084105C">
            <w:pPr>
              <w:spacing w:before="60"/>
              <w:rPr>
                <w:sz w:val="18"/>
                <w:szCs w:val="18"/>
              </w:rPr>
            </w:pPr>
            <w:r w:rsidRPr="00CE585D">
              <w:rPr>
                <w:sz w:val="18"/>
                <w:szCs w:val="18"/>
              </w:rPr>
              <w:t>Descriptive – surge plan development</w:t>
            </w:r>
          </w:p>
        </w:tc>
        <w:tc>
          <w:tcPr>
            <w:tcW w:w="1296" w:type="dxa"/>
          </w:tcPr>
          <w:p w:rsidR="00CF127C" w:rsidRPr="00CE585D" w:rsidRDefault="00CF127C" w:rsidP="0084105C">
            <w:pPr>
              <w:spacing w:before="60"/>
              <w:jc w:val="center"/>
              <w:rPr>
                <w:sz w:val="18"/>
                <w:szCs w:val="18"/>
              </w:rPr>
            </w:pPr>
            <w:r w:rsidRPr="00CE585D">
              <w:rPr>
                <w:sz w:val="18"/>
                <w:szCs w:val="18"/>
              </w:rPr>
              <w:t>All-hazards</w:t>
            </w:r>
          </w:p>
        </w:tc>
        <w:tc>
          <w:tcPr>
            <w:tcW w:w="2016" w:type="dxa"/>
          </w:tcPr>
          <w:p w:rsidR="00CF127C" w:rsidRPr="00CE585D" w:rsidRDefault="00CF127C" w:rsidP="0084105C">
            <w:pPr>
              <w:spacing w:before="60"/>
              <w:rPr>
                <w:sz w:val="18"/>
                <w:szCs w:val="18"/>
              </w:rPr>
            </w:pPr>
            <w:r w:rsidRPr="00CE585D">
              <w:rPr>
                <w:sz w:val="18"/>
                <w:szCs w:val="18"/>
              </w:rPr>
              <w:t xml:space="preserve">Organization of de novo regional hospital planning group and cooperative hospital level surge planning for central </w:t>
            </w:r>
            <w:smartTag w:uri="urn:schemas-microsoft-com:office:smarttags" w:element="place">
              <w:r w:rsidRPr="00CE585D">
                <w:rPr>
                  <w:sz w:val="18"/>
                  <w:szCs w:val="18"/>
                </w:rPr>
                <w:t>Brooklyn</w:t>
              </w:r>
            </w:smartTag>
          </w:p>
        </w:tc>
        <w:tc>
          <w:tcPr>
            <w:tcW w:w="1890" w:type="dxa"/>
          </w:tcPr>
          <w:p w:rsidR="00CF127C" w:rsidRPr="00CE585D" w:rsidRDefault="00CF127C" w:rsidP="0084105C">
            <w:pPr>
              <w:spacing w:before="60"/>
              <w:rPr>
                <w:sz w:val="18"/>
                <w:szCs w:val="18"/>
              </w:rPr>
            </w:pPr>
            <w:r w:rsidRPr="00CE585D">
              <w:rPr>
                <w:sz w:val="18"/>
                <w:szCs w:val="18"/>
              </w:rPr>
              <w:t xml:space="preserve">Hospitals </w:t>
            </w:r>
            <w:r w:rsidRPr="00CE585D">
              <w:rPr>
                <w:i/>
                <w:sz w:val="18"/>
                <w:szCs w:val="18"/>
              </w:rPr>
              <w:t>engaged</w:t>
            </w:r>
            <w:r w:rsidRPr="00CE585D">
              <w:rPr>
                <w:sz w:val="18"/>
                <w:szCs w:val="18"/>
              </w:rPr>
              <w:t xml:space="preserve"> city PH to develop planning group; new hospital consortium organization </w:t>
            </w:r>
            <w:r w:rsidRPr="00CE585D">
              <w:rPr>
                <w:i/>
                <w:sz w:val="18"/>
                <w:szCs w:val="18"/>
              </w:rPr>
              <w:t xml:space="preserve">engaged </w:t>
            </w:r>
            <w:r w:rsidRPr="00CE585D">
              <w:rPr>
                <w:sz w:val="18"/>
                <w:szCs w:val="18"/>
              </w:rPr>
              <w:t>individual hospitals</w:t>
            </w:r>
          </w:p>
        </w:tc>
        <w:tc>
          <w:tcPr>
            <w:tcW w:w="2160" w:type="dxa"/>
          </w:tcPr>
          <w:p w:rsidR="00CF127C" w:rsidRPr="00CE585D" w:rsidRDefault="00CF127C" w:rsidP="0084105C">
            <w:pPr>
              <w:spacing w:before="60" w:after="60"/>
              <w:rPr>
                <w:sz w:val="18"/>
                <w:szCs w:val="18"/>
              </w:rPr>
            </w:pPr>
            <w:r w:rsidRPr="00CE585D">
              <w:rPr>
                <w:sz w:val="18"/>
                <w:szCs w:val="18"/>
              </w:rPr>
              <w:t>De novo planning group created; surge space/beds designated at each hospital to meet regional needs (+22% beds: 987 baseline to 1207 surge); protocol for notification and plan activation developed</w:t>
            </w:r>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Willingness of hospitals to plan cooperatively; national standards provided planning target</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lastRenderedPageBreak/>
              <w:t>Grier, 2006</w:t>
            </w:r>
            <w:r w:rsidRPr="0023334B">
              <w:rPr>
                <w:noProof/>
                <w:sz w:val="18"/>
                <w:szCs w:val="18"/>
                <w:vertAlign w:val="superscript"/>
              </w:rPr>
              <w:t>186</w:t>
            </w:r>
          </w:p>
        </w:tc>
        <w:tc>
          <w:tcPr>
            <w:tcW w:w="1242" w:type="dxa"/>
          </w:tcPr>
          <w:p w:rsidR="00CF127C" w:rsidRPr="00CE585D" w:rsidRDefault="00CF127C" w:rsidP="0084105C">
            <w:pPr>
              <w:spacing w:before="60"/>
              <w:ind w:left="116" w:hanging="116"/>
              <w:rPr>
                <w:sz w:val="18"/>
                <w:szCs w:val="18"/>
              </w:rPr>
            </w:pPr>
            <w:r>
              <w:rPr>
                <w:sz w:val="18"/>
                <w:szCs w:val="18"/>
              </w:rPr>
              <w:t>Providers, Policy makers</w:t>
            </w:r>
          </w:p>
        </w:tc>
        <w:tc>
          <w:tcPr>
            <w:tcW w:w="904" w:type="dxa"/>
          </w:tcPr>
          <w:p w:rsidR="00CF127C" w:rsidRPr="00CE585D" w:rsidRDefault="00CF127C" w:rsidP="0084105C">
            <w:pPr>
              <w:spacing w:before="60"/>
              <w:rPr>
                <w:sz w:val="18"/>
                <w:szCs w:val="18"/>
              </w:rPr>
            </w:pPr>
            <w:r w:rsidRPr="00CE585D">
              <w:rPr>
                <w:sz w:val="18"/>
                <w:szCs w:val="18"/>
              </w:rPr>
              <w:t>CA, FL, IL, OR, LA, MO (state level in each)</w:t>
            </w:r>
          </w:p>
        </w:tc>
        <w:tc>
          <w:tcPr>
            <w:tcW w:w="1296" w:type="dxa"/>
          </w:tcPr>
          <w:p w:rsidR="00CF127C" w:rsidRPr="00CE585D" w:rsidRDefault="00CF127C" w:rsidP="0084105C">
            <w:pPr>
              <w:spacing w:before="60"/>
              <w:rPr>
                <w:sz w:val="18"/>
                <w:szCs w:val="18"/>
              </w:rPr>
            </w:pPr>
            <w:r w:rsidRPr="00CE585D">
              <w:rPr>
                <w:sz w:val="18"/>
                <w:szCs w:val="18"/>
              </w:rPr>
              <w:t>Case studies – planning process</w:t>
            </w:r>
          </w:p>
        </w:tc>
        <w:tc>
          <w:tcPr>
            <w:tcW w:w="1296" w:type="dxa"/>
          </w:tcPr>
          <w:p w:rsidR="00CF127C" w:rsidRPr="00CE585D" w:rsidRDefault="00CF127C" w:rsidP="0084105C">
            <w:pPr>
              <w:spacing w:before="60"/>
              <w:jc w:val="center"/>
              <w:rPr>
                <w:sz w:val="18"/>
                <w:szCs w:val="18"/>
              </w:rPr>
            </w:pPr>
            <w:r w:rsidRPr="00CE585D">
              <w:rPr>
                <w:sz w:val="18"/>
                <w:szCs w:val="18"/>
              </w:rPr>
              <w:t>Unspecified</w:t>
            </w:r>
          </w:p>
        </w:tc>
        <w:tc>
          <w:tcPr>
            <w:tcW w:w="2016" w:type="dxa"/>
          </w:tcPr>
          <w:p w:rsidR="00CF127C" w:rsidRPr="00CE585D" w:rsidRDefault="00CF127C" w:rsidP="00CF127C">
            <w:pPr>
              <w:pStyle w:val="ListParagraph"/>
              <w:numPr>
                <w:ilvl w:val="0"/>
                <w:numId w:val="17"/>
              </w:numPr>
              <w:spacing w:before="60" w:after="0" w:line="240" w:lineRule="auto"/>
              <w:ind w:left="245" w:hanging="245"/>
              <w:rPr>
                <w:sz w:val="18"/>
                <w:szCs w:val="18"/>
              </w:rPr>
            </w:pPr>
            <w:r w:rsidRPr="00CE585D">
              <w:rPr>
                <w:sz w:val="18"/>
                <w:szCs w:val="18"/>
              </w:rPr>
              <w:t>Top-down county planning model, master Mutual Aid Agreement (CA, IL)</w:t>
            </w:r>
          </w:p>
          <w:p w:rsidR="00CF127C" w:rsidRPr="00CE585D" w:rsidRDefault="00CF127C" w:rsidP="00CF127C">
            <w:pPr>
              <w:pStyle w:val="ListParagraph"/>
              <w:numPr>
                <w:ilvl w:val="0"/>
                <w:numId w:val="17"/>
              </w:numPr>
              <w:spacing w:after="0" w:line="240" w:lineRule="auto"/>
              <w:ind w:left="251" w:hanging="251"/>
              <w:rPr>
                <w:sz w:val="18"/>
                <w:szCs w:val="18"/>
              </w:rPr>
            </w:pPr>
            <w:r w:rsidRPr="00CE585D">
              <w:rPr>
                <w:sz w:val="18"/>
                <w:szCs w:val="18"/>
              </w:rPr>
              <w:t>Decentralized regional planning (FL, LA)</w:t>
            </w:r>
          </w:p>
          <w:p w:rsidR="00CF127C" w:rsidRPr="00CE585D" w:rsidRDefault="00CF127C" w:rsidP="00CF127C">
            <w:pPr>
              <w:pStyle w:val="ListParagraph"/>
              <w:numPr>
                <w:ilvl w:val="0"/>
                <w:numId w:val="17"/>
              </w:numPr>
              <w:spacing w:after="0" w:line="240" w:lineRule="auto"/>
              <w:ind w:left="251" w:hanging="251"/>
              <w:rPr>
                <w:sz w:val="18"/>
                <w:szCs w:val="18"/>
              </w:rPr>
            </w:pPr>
            <w:r w:rsidRPr="00CE585D">
              <w:rPr>
                <w:sz w:val="18"/>
                <w:szCs w:val="18"/>
              </w:rPr>
              <w:t>Decentralized rural planning (OR)</w:t>
            </w:r>
          </w:p>
          <w:p w:rsidR="00CF127C" w:rsidRPr="00CE585D" w:rsidRDefault="00CF127C" w:rsidP="00CF127C">
            <w:pPr>
              <w:pStyle w:val="ListParagraph"/>
              <w:numPr>
                <w:ilvl w:val="0"/>
                <w:numId w:val="17"/>
              </w:numPr>
              <w:spacing w:after="0" w:line="240" w:lineRule="auto"/>
              <w:ind w:left="251" w:hanging="251"/>
              <w:rPr>
                <w:sz w:val="18"/>
                <w:szCs w:val="18"/>
              </w:rPr>
            </w:pPr>
            <w:r w:rsidRPr="00CE585D">
              <w:rPr>
                <w:sz w:val="18"/>
                <w:szCs w:val="18"/>
              </w:rPr>
              <w:t>Hospital-directed tiered regional planning model (IL, LA, MO)</w:t>
            </w:r>
          </w:p>
          <w:p w:rsidR="00CF127C" w:rsidRPr="00CE585D" w:rsidRDefault="00CF127C" w:rsidP="00CF127C">
            <w:pPr>
              <w:pStyle w:val="ListParagraph"/>
              <w:numPr>
                <w:ilvl w:val="0"/>
                <w:numId w:val="17"/>
              </w:numPr>
              <w:spacing w:after="60" w:line="240" w:lineRule="auto"/>
              <w:ind w:left="245" w:hanging="245"/>
              <w:contextualSpacing w:val="0"/>
              <w:rPr>
                <w:sz w:val="18"/>
                <w:szCs w:val="18"/>
              </w:rPr>
            </w:pPr>
            <w:r w:rsidRPr="00CE585D">
              <w:rPr>
                <w:sz w:val="18"/>
                <w:szCs w:val="18"/>
              </w:rPr>
              <w:t>Third-party directed planning model (MO)</w:t>
            </w:r>
          </w:p>
        </w:tc>
        <w:tc>
          <w:tcPr>
            <w:tcW w:w="1890" w:type="dxa"/>
          </w:tcPr>
          <w:p w:rsidR="00CF127C" w:rsidRPr="00CE585D" w:rsidRDefault="00CF127C" w:rsidP="00CF127C">
            <w:pPr>
              <w:pStyle w:val="ListParagraph"/>
              <w:numPr>
                <w:ilvl w:val="0"/>
                <w:numId w:val="18"/>
              </w:numPr>
              <w:spacing w:before="60" w:after="0" w:line="240" w:lineRule="auto"/>
              <w:ind w:left="260" w:hanging="274"/>
              <w:contextualSpacing w:val="0"/>
              <w:rPr>
                <w:sz w:val="18"/>
                <w:szCs w:val="18"/>
              </w:rPr>
            </w:pPr>
            <w:r w:rsidRPr="00CE585D">
              <w:rPr>
                <w:sz w:val="18"/>
                <w:szCs w:val="18"/>
              </w:rPr>
              <w:t xml:space="preserve">State PH </w:t>
            </w:r>
            <w:r w:rsidRPr="00CE585D">
              <w:rPr>
                <w:i/>
                <w:sz w:val="18"/>
                <w:szCs w:val="18"/>
              </w:rPr>
              <w:t xml:space="preserve">engaged </w:t>
            </w:r>
            <w:r w:rsidRPr="00CE585D">
              <w:rPr>
                <w:sz w:val="18"/>
                <w:szCs w:val="18"/>
              </w:rPr>
              <w:t>local PH, hospitals</w:t>
            </w:r>
          </w:p>
          <w:p w:rsidR="00CF127C" w:rsidRPr="00CE585D" w:rsidRDefault="00CF127C" w:rsidP="00CF127C">
            <w:pPr>
              <w:pStyle w:val="ListParagraph"/>
              <w:numPr>
                <w:ilvl w:val="0"/>
                <w:numId w:val="18"/>
              </w:numPr>
              <w:spacing w:after="0" w:line="240" w:lineRule="auto"/>
              <w:ind w:left="251" w:hanging="270"/>
              <w:rPr>
                <w:sz w:val="18"/>
                <w:szCs w:val="18"/>
              </w:rPr>
            </w:pPr>
            <w:r w:rsidRPr="00CE585D">
              <w:rPr>
                <w:sz w:val="18"/>
                <w:szCs w:val="18"/>
              </w:rPr>
              <w:t xml:space="preserve">Hospitals, state hospital association </w:t>
            </w:r>
            <w:r w:rsidRPr="00CE585D">
              <w:rPr>
                <w:i/>
                <w:sz w:val="18"/>
                <w:szCs w:val="18"/>
              </w:rPr>
              <w:t>engaged</w:t>
            </w:r>
            <w:r w:rsidRPr="00CE585D">
              <w:rPr>
                <w:sz w:val="18"/>
                <w:szCs w:val="18"/>
              </w:rPr>
              <w:t xml:space="preserve"> hospitals</w:t>
            </w:r>
          </w:p>
          <w:p w:rsidR="00CF127C" w:rsidRPr="00CE585D" w:rsidRDefault="00CF127C" w:rsidP="00CF127C">
            <w:pPr>
              <w:pStyle w:val="ListParagraph"/>
              <w:numPr>
                <w:ilvl w:val="0"/>
                <w:numId w:val="18"/>
              </w:numPr>
              <w:spacing w:after="0" w:line="240" w:lineRule="auto"/>
              <w:ind w:left="251" w:hanging="270"/>
              <w:rPr>
                <w:sz w:val="18"/>
                <w:szCs w:val="18"/>
              </w:rPr>
            </w:pPr>
            <w:r w:rsidRPr="00CE585D">
              <w:rPr>
                <w:sz w:val="18"/>
                <w:szCs w:val="18"/>
              </w:rPr>
              <w:t xml:space="preserve">Regional medical center </w:t>
            </w:r>
            <w:r w:rsidRPr="00CE585D">
              <w:rPr>
                <w:i/>
                <w:sz w:val="18"/>
                <w:szCs w:val="18"/>
              </w:rPr>
              <w:t xml:space="preserve">engaged </w:t>
            </w:r>
            <w:r w:rsidRPr="00CE585D">
              <w:rPr>
                <w:sz w:val="18"/>
                <w:szCs w:val="18"/>
              </w:rPr>
              <w:t>hospitals</w:t>
            </w:r>
          </w:p>
          <w:p w:rsidR="00CF127C" w:rsidRPr="00CE585D" w:rsidRDefault="00CF127C" w:rsidP="00CF127C">
            <w:pPr>
              <w:pStyle w:val="ListParagraph"/>
              <w:numPr>
                <w:ilvl w:val="0"/>
                <w:numId w:val="18"/>
              </w:numPr>
              <w:spacing w:after="0" w:line="240" w:lineRule="auto"/>
              <w:ind w:left="251" w:hanging="270"/>
              <w:rPr>
                <w:sz w:val="18"/>
                <w:szCs w:val="18"/>
              </w:rPr>
            </w:pPr>
            <w:r w:rsidRPr="00CE585D">
              <w:rPr>
                <w:sz w:val="18"/>
                <w:szCs w:val="18"/>
              </w:rPr>
              <w:t xml:space="preserve">Designated regional hospital </w:t>
            </w:r>
            <w:r w:rsidRPr="00CE585D">
              <w:rPr>
                <w:i/>
                <w:sz w:val="18"/>
                <w:szCs w:val="18"/>
              </w:rPr>
              <w:t xml:space="preserve">engaged </w:t>
            </w:r>
            <w:r w:rsidRPr="00CE585D">
              <w:rPr>
                <w:sz w:val="18"/>
                <w:szCs w:val="18"/>
              </w:rPr>
              <w:t>hospitals</w:t>
            </w:r>
          </w:p>
          <w:p w:rsidR="00CF127C" w:rsidRPr="00CE585D" w:rsidRDefault="00CF127C" w:rsidP="00CF127C">
            <w:pPr>
              <w:pStyle w:val="ListParagraph"/>
              <w:numPr>
                <w:ilvl w:val="0"/>
                <w:numId w:val="18"/>
              </w:numPr>
              <w:spacing w:after="0" w:line="240" w:lineRule="auto"/>
              <w:ind w:left="251" w:hanging="270"/>
              <w:rPr>
                <w:sz w:val="18"/>
                <w:szCs w:val="18"/>
              </w:rPr>
            </w:pPr>
            <w:r w:rsidRPr="00CE585D">
              <w:rPr>
                <w:sz w:val="18"/>
                <w:szCs w:val="18"/>
              </w:rPr>
              <w:t xml:space="preserve">State PH and designated hospital </w:t>
            </w:r>
            <w:r w:rsidRPr="00CE585D">
              <w:rPr>
                <w:i/>
                <w:sz w:val="18"/>
                <w:szCs w:val="18"/>
              </w:rPr>
              <w:t xml:space="preserve">engaged </w:t>
            </w:r>
            <w:r w:rsidRPr="00CE585D">
              <w:rPr>
                <w:sz w:val="18"/>
                <w:szCs w:val="18"/>
              </w:rPr>
              <w:t>hospitals</w:t>
            </w:r>
          </w:p>
        </w:tc>
        <w:tc>
          <w:tcPr>
            <w:tcW w:w="2160" w:type="dxa"/>
          </w:tcPr>
          <w:p w:rsidR="00CF127C" w:rsidRPr="00CE585D" w:rsidRDefault="00CF127C" w:rsidP="0084105C">
            <w:pPr>
              <w:spacing w:before="60"/>
              <w:rPr>
                <w:sz w:val="18"/>
                <w:szCs w:val="18"/>
              </w:rPr>
            </w:pPr>
            <w:r w:rsidRPr="00CE585D">
              <w:rPr>
                <w:sz w:val="18"/>
                <w:szCs w:val="18"/>
              </w:rPr>
              <w:t xml:space="preserve">Multiple surge capacity planning models based on plans in 8 localities in 6 different </w:t>
            </w:r>
            <w:smartTag w:uri="urn:schemas-microsoft-com:office:smarttags" w:element="place">
              <w:smartTag w:uri="urn:schemas-microsoft-com:office:smarttags" w:element="country-region">
                <w:r w:rsidRPr="00CE585D">
                  <w:rPr>
                    <w:sz w:val="18"/>
                    <w:szCs w:val="18"/>
                  </w:rPr>
                  <w:t>US</w:t>
                </w:r>
              </w:smartTag>
            </w:smartTag>
            <w:r w:rsidRPr="00CE585D">
              <w:rPr>
                <w:sz w:val="18"/>
                <w:szCs w:val="18"/>
              </w:rPr>
              <w:t xml:space="preserve"> states</w:t>
            </w:r>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Planning centered on hospitals (no major mix of organizational cultures); third-party-directed planning model minimized competition among hospitals</w:t>
            </w:r>
          </w:p>
          <w:p w:rsidR="00CF127C" w:rsidRPr="00CE585D" w:rsidRDefault="00CF127C" w:rsidP="0084105C">
            <w:pPr>
              <w:spacing w:before="120"/>
              <w:rPr>
                <w:sz w:val="18"/>
                <w:szCs w:val="18"/>
              </w:rPr>
            </w:pPr>
            <w:r w:rsidRPr="00CE585D">
              <w:rPr>
                <w:i/>
                <w:sz w:val="18"/>
                <w:szCs w:val="18"/>
              </w:rPr>
              <w:t>Barriers:</w:t>
            </w:r>
            <w:r w:rsidRPr="00CE585D">
              <w:rPr>
                <w:sz w:val="18"/>
                <w:szCs w:val="18"/>
              </w:rPr>
              <w:t xml:space="preserve"> Culture differences between PH and hospitals, competition among hospitals</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Kanter, 2009</w:t>
            </w:r>
            <w:r w:rsidRPr="0023334B">
              <w:rPr>
                <w:noProof/>
                <w:sz w:val="18"/>
                <w:szCs w:val="18"/>
                <w:vertAlign w:val="superscript"/>
              </w:rPr>
              <w:t>189</w:t>
            </w:r>
          </w:p>
        </w:tc>
        <w:tc>
          <w:tcPr>
            <w:tcW w:w="1242" w:type="dxa"/>
          </w:tcPr>
          <w:p w:rsidR="00CF127C" w:rsidRPr="00CE585D" w:rsidRDefault="00CF127C" w:rsidP="0084105C">
            <w:pPr>
              <w:spacing w:before="60"/>
              <w:ind w:left="116" w:hanging="116"/>
              <w:rPr>
                <w:sz w:val="18"/>
                <w:szCs w:val="18"/>
              </w:rPr>
            </w:pPr>
            <w:r>
              <w:rPr>
                <w:sz w:val="18"/>
                <w:szCs w:val="18"/>
              </w:rPr>
              <w:t>Providers</w:t>
            </w:r>
          </w:p>
        </w:tc>
        <w:tc>
          <w:tcPr>
            <w:tcW w:w="904" w:type="dxa"/>
          </w:tcPr>
          <w:p w:rsidR="00CF127C" w:rsidRPr="00CE585D" w:rsidRDefault="00CF127C" w:rsidP="0084105C">
            <w:pPr>
              <w:spacing w:before="60"/>
              <w:rPr>
                <w:sz w:val="18"/>
                <w:szCs w:val="18"/>
              </w:rPr>
            </w:pPr>
            <w:r w:rsidRPr="00CE585D">
              <w:rPr>
                <w:sz w:val="18"/>
                <w:szCs w:val="18"/>
              </w:rPr>
              <w:t>US (experts drawn from different states)</w:t>
            </w:r>
          </w:p>
        </w:tc>
        <w:tc>
          <w:tcPr>
            <w:tcW w:w="1296" w:type="dxa"/>
          </w:tcPr>
          <w:p w:rsidR="00CF127C" w:rsidRPr="00CE585D" w:rsidRDefault="00CF127C" w:rsidP="0084105C">
            <w:pPr>
              <w:spacing w:before="60"/>
              <w:rPr>
                <w:sz w:val="18"/>
                <w:szCs w:val="18"/>
              </w:rPr>
            </w:pPr>
            <w:r w:rsidRPr="00CE585D">
              <w:rPr>
                <w:sz w:val="18"/>
                <w:szCs w:val="18"/>
              </w:rPr>
              <w:t>Descriptive – planning process</w:t>
            </w:r>
          </w:p>
        </w:tc>
        <w:tc>
          <w:tcPr>
            <w:tcW w:w="1296" w:type="dxa"/>
          </w:tcPr>
          <w:p w:rsidR="00CF127C" w:rsidRPr="00CE585D" w:rsidRDefault="00CF127C" w:rsidP="0084105C">
            <w:pPr>
              <w:spacing w:before="60"/>
              <w:jc w:val="center"/>
              <w:rPr>
                <w:sz w:val="18"/>
                <w:szCs w:val="18"/>
              </w:rPr>
            </w:pPr>
            <w:r w:rsidRPr="00CE585D">
              <w:rPr>
                <w:sz w:val="18"/>
                <w:szCs w:val="18"/>
              </w:rPr>
              <w:t>Unspecified</w:t>
            </w:r>
          </w:p>
        </w:tc>
        <w:tc>
          <w:tcPr>
            <w:tcW w:w="2016" w:type="dxa"/>
          </w:tcPr>
          <w:p w:rsidR="00CF127C" w:rsidRPr="00CE585D" w:rsidRDefault="00CF127C" w:rsidP="0084105C">
            <w:pPr>
              <w:spacing w:before="60"/>
              <w:rPr>
                <w:sz w:val="18"/>
                <w:szCs w:val="18"/>
              </w:rPr>
            </w:pPr>
            <w:r w:rsidRPr="00CE585D">
              <w:rPr>
                <w:sz w:val="18"/>
                <w:szCs w:val="18"/>
              </w:rPr>
              <w:t xml:space="preserve">Systematic development of consensus on appropriate pediatric crisis standards of care through modified </w:t>
            </w:r>
            <w:smartTag w:uri="urn:schemas-microsoft-com:office:smarttags" w:element="place">
              <w:r w:rsidRPr="00CE585D">
                <w:rPr>
                  <w:sz w:val="18"/>
                  <w:szCs w:val="18"/>
                </w:rPr>
                <w:t>Delphi</w:t>
              </w:r>
            </w:smartTag>
            <w:r w:rsidRPr="00CE585D">
              <w:rPr>
                <w:sz w:val="18"/>
                <w:szCs w:val="18"/>
              </w:rPr>
              <w:t xml:space="preserve"> process involving hospital pediatricians</w:t>
            </w:r>
          </w:p>
        </w:tc>
        <w:tc>
          <w:tcPr>
            <w:tcW w:w="1890" w:type="dxa"/>
          </w:tcPr>
          <w:p w:rsidR="00CF127C" w:rsidRPr="00CE585D" w:rsidRDefault="00CF127C" w:rsidP="0084105C">
            <w:pPr>
              <w:spacing w:before="60"/>
              <w:rPr>
                <w:sz w:val="18"/>
                <w:szCs w:val="18"/>
              </w:rPr>
            </w:pPr>
            <w:r w:rsidRPr="00CE585D">
              <w:rPr>
                <w:sz w:val="18"/>
                <w:szCs w:val="18"/>
              </w:rPr>
              <w:t xml:space="preserve">Hospital pediatric leaders </w:t>
            </w:r>
            <w:r w:rsidRPr="00CE585D">
              <w:rPr>
                <w:i/>
                <w:sz w:val="18"/>
                <w:szCs w:val="18"/>
              </w:rPr>
              <w:t xml:space="preserve">engaged </w:t>
            </w:r>
            <w:r w:rsidRPr="00CE585D">
              <w:rPr>
                <w:sz w:val="18"/>
                <w:szCs w:val="18"/>
              </w:rPr>
              <w:t>other acute care hospital-based pediatricians</w:t>
            </w:r>
          </w:p>
        </w:tc>
        <w:tc>
          <w:tcPr>
            <w:tcW w:w="2160" w:type="dxa"/>
          </w:tcPr>
          <w:p w:rsidR="00CF127C" w:rsidRPr="00CE585D" w:rsidRDefault="00CF127C" w:rsidP="0084105C">
            <w:pPr>
              <w:spacing w:before="60"/>
              <w:rPr>
                <w:sz w:val="18"/>
                <w:szCs w:val="18"/>
              </w:rPr>
            </w:pPr>
            <w:r w:rsidRPr="00CE585D">
              <w:rPr>
                <w:sz w:val="18"/>
                <w:szCs w:val="18"/>
              </w:rPr>
              <w:t>Consensus on non-ICU interventions but not on ICU interventions</w:t>
            </w:r>
          </w:p>
        </w:tc>
        <w:tc>
          <w:tcPr>
            <w:tcW w:w="2448" w:type="dxa"/>
          </w:tcPr>
          <w:p w:rsidR="00CF127C" w:rsidRPr="00CE585D" w:rsidRDefault="00CF127C" w:rsidP="0084105C">
            <w:pPr>
              <w:spacing w:before="60"/>
              <w:rPr>
                <w:sz w:val="18"/>
                <w:szCs w:val="18"/>
              </w:rPr>
            </w:pPr>
            <w:r w:rsidRPr="00CE585D">
              <w:rPr>
                <w:i/>
                <w:sz w:val="18"/>
                <w:szCs w:val="18"/>
              </w:rPr>
              <w:t xml:space="preserve">Facilitators: </w:t>
            </w:r>
            <w:r w:rsidRPr="00CE585D">
              <w:rPr>
                <w:sz w:val="18"/>
                <w:szCs w:val="18"/>
              </w:rPr>
              <w:t>Structured process, conducted via email (cheap, efficient), anonymity of experts, flexible approach, use of established scoring system as endpoints</w:t>
            </w:r>
          </w:p>
          <w:p w:rsidR="00CF127C" w:rsidRPr="00CE585D" w:rsidRDefault="00CF127C" w:rsidP="0084105C">
            <w:pPr>
              <w:spacing w:before="120" w:after="60"/>
              <w:rPr>
                <w:sz w:val="18"/>
                <w:szCs w:val="18"/>
              </w:rPr>
            </w:pPr>
            <w:r w:rsidRPr="00CE585D">
              <w:rPr>
                <w:i/>
                <w:sz w:val="18"/>
                <w:szCs w:val="18"/>
              </w:rPr>
              <w:t xml:space="preserve">Barriers: </w:t>
            </w:r>
            <w:r w:rsidRPr="00CE585D">
              <w:rPr>
                <w:sz w:val="18"/>
                <w:szCs w:val="18"/>
              </w:rPr>
              <w:t>No face-to-face discussion among experts, no full consensus on some elements, need to coordinate with government regulations potentially over-rides expert consensus</w:t>
            </w:r>
          </w:p>
        </w:tc>
        <w:tc>
          <w:tcPr>
            <w:tcW w:w="806" w:type="dxa"/>
          </w:tcPr>
          <w:p w:rsidR="00CF127C" w:rsidRPr="00CE585D" w:rsidRDefault="00CF127C" w:rsidP="0084105C">
            <w:pPr>
              <w:spacing w:before="60"/>
              <w:jc w:val="center"/>
              <w:rPr>
                <w:sz w:val="18"/>
                <w:szCs w:val="18"/>
              </w:rPr>
            </w:pPr>
            <w:r w:rsidRPr="00CE585D">
              <w:rPr>
                <w:sz w:val="18"/>
                <w:szCs w:val="18"/>
              </w:rPr>
              <w:t>3</w:t>
            </w:r>
          </w:p>
        </w:tc>
      </w:tr>
      <w:tr w:rsidR="00CF127C" w:rsidRPr="00CE585D" w:rsidTr="0084105C">
        <w:trPr>
          <w:cantSplit/>
        </w:trPr>
        <w:tc>
          <w:tcPr>
            <w:tcW w:w="936" w:type="dxa"/>
          </w:tcPr>
          <w:p w:rsidR="00CF127C" w:rsidRPr="00CE585D" w:rsidRDefault="00CF127C" w:rsidP="0084105C">
            <w:pPr>
              <w:spacing w:before="60" w:after="60"/>
              <w:rPr>
                <w:sz w:val="18"/>
                <w:szCs w:val="18"/>
              </w:rPr>
            </w:pPr>
            <w:r w:rsidRPr="00CE585D">
              <w:rPr>
                <w:sz w:val="18"/>
                <w:szCs w:val="18"/>
              </w:rPr>
              <w:t>Kelen, 2006</w:t>
            </w:r>
            <w:r w:rsidRPr="0023334B">
              <w:rPr>
                <w:noProof/>
                <w:sz w:val="18"/>
                <w:szCs w:val="18"/>
                <w:vertAlign w:val="superscript"/>
              </w:rPr>
              <w:t>191</w:t>
            </w:r>
          </w:p>
        </w:tc>
        <w:tc>
          <w:tcPr>
            <w:tcW w:w="1242" w:type="dxa"/>
          </w:tcPr>
          <w:p w:rsidR="00CF127C" w:rsidRPr="00CE585D" w:rsidRDefault="00CF127C" w:rsidP="0084105C">
            <w:pPr>
              <w:spacing w:before="60" w:after="60"/>
              <w:ind w:left="116" w:hanging="116"/>
              <w:rPr>
                <w:sz w:val="18"/>
                <w:szCs w:val="18"/>
              </w:rPr>
            </w:pPr>
            <w:r>
              <w:rPr>
                <w:sz w:val="18"/>
                <w:szCs w:val="18"/>
              </w:rPr>
              <w:t>Providers</w:t>
            </w:r>
          </w:p>
        </w:tc>
        <w:tc>
          <w:tcPr>
            <w:tcW w:w="904" w:type="dxa"/>
          </w:tcPr>
          <w:p w:rsidR="00CF127C" w:rsidRPr="00CE585D" w:rsidRDefault="00CF127C" w:rsidP="0084105C">
            <w:pPr>
              <w:spacing w:before="60" w:after="60"/>
              <w:rPr>
                <w:sz w:val="18"/>
                <w:szCs w:val="18"/>
              </w:rPr>
            </w:pPr>
            <w:r w:rsidRPr="00CE585D">
              <w:rPr>
                <w:sz w:val="18"/>
                <w:szCs w:val="18"/>
              </w:rPr>
              <w:t>MD</w:t>
            </w:r>
          </w:p>
        </w:tc>
        <w:tc>
          <w:tcPr>
            <w:tcW w:w="1296" w:type="dxa"/>
          </w:tcPr>
          <w:p w:rsidR="00CF127C" w:rsidRPr="00CE585D" w:rsidRDefault="00CF127C" w:rsidP="0084105C">
            <w:pPr>
              <w:spacing w:before="60" w:after="60"/>
              <w:rPr>
                <w:sz w:val="18"/>
                <w:szCs w:val="18"/>
              </w:rPr>
            </w:pPr>
            <w:r w:rsidRPr="00CE585D">
              <w:rPr>
                <w:sz w:val="18"/>
                <w:szCs w:val="18"/>
              </w:rPr>
              <w:t>Descriptive – planning process</w:t>
            </w:r>
          </w:p>
        </w:tc>
        <w:tc>
          <w:tcPr>
            <w:tcW w:w="1296" w:type="dxa"/>
          </w:tcPr>
          <w:p w:rsidR="00CF127C" w:rsidRPr="00CE585D" w:rsidRDefault="00CF127C" w:rsidP="0084105C">
            <w:pPr>
              <w:spacing w:before="60" w:after="60"/>
              <w:jc w:val="center"/>
              <w:rPr>
                <w:sz w:val="18"/>
                <w:szCs w:val="18"/>
              </w:rPr>
            </w:pPr>
            <w:r w:rsidRPr="00CE585D">
              <w:rPr>
                <w:sz w:val="18"/>
                <w:szCs w:val="18"/>
              </w:rPr>
              <w:t>Unspecified</w:t>
            </w:r>
          </w:p>
        </w:tc>
        <w:tc>
          <w:tcPr>
            <w:tcW w:w="2016" w:type="dxa"/>
          </w:tcPr>
          <w:p w:rsidR="00CF127C" w:rsidRPr="00CE585D" w:rsidRDefault="00CF127C" w:rsidP="0084105C">
            <w:pPr>
              <w:spacing w:before="60" w:after="60"/>
              <w:rPr>
                <w:sz w:val="18"/>
                <w:szCs w:val="18"/>
              </w:rPr>
            </w:pPr>
            <w:r w:rsidRPr="00CE585D">
              <w:rPr>
                <w:sz w:val="18"/>
                <w:szCs w:val="18"/>
              </w:rPr>
              <w:t>Development of evidence-based “reverse triage” classification system through systematic expert consensus process using formally-defined real-time anonymous virtual network</w:t>
            </w:r>
          </w:p>
        </w:tc>
        <w:tc>
          <w:tcPr>
            <w:tcW w:w="1890" w:type="dxa"/>
          </w:tcPr>
          <w:p w:rsidR="00CF127C" w:rsidRPr="00CE585D" w:rsidRDefault="00CF127C" w:rsidP="0084105C">
            <w:pPr>
              <w:spacing w:before="60" w:after="60"/>
              <w:rPr>
                <w:sz w:val="18"/>
                <w:szCs w:val="18"/>
              </w:rPr>
            </w:pPr>
            <w:r w:rsidRPr="00CE585D">
              <w:rPr>
                <w:sz w:val="18"/>
                <w:szCs w:val="18"/>
              </w:rPr>
              <w:t xml:space="preserve">Academic medical center leaders </w:t>
            </w:r>
            <w:r w:rsidRPr="00CE585D">
              <w:rPr>
                <w:i/>
                <w:sz w:val="18"/>
                <w:szCs w:val="18"/>
              </w:rPr>
              <w:t>engaged</w:t>
            </w:r>
            <w:r w:rsidRPr="00CE585D">
              <w:rPr>
                <w:sz w:val="18"/>
                <w:szCs w:val="18"/>
              </w:rPr>
              <w:t xml:space="preserve"> 39 clinician and non-clinician experts</w:t>
            </w:r>
          </w:p>
        </w:tc>
        <w:tc>
          <w:tcPr>
            <w:tcW w:w="2160" w:type="dxa"/>
          </w:tcPr>
          <w:p w:rsidR="00CF127C" w:rsidRPr="00CE585D" w:rsidRDefault="00CF127C" w:rsidP="0084105C">
            <w:pPr>
              <w:spacing w:before="60" w:after="60"/>
              <w:rPr>
                <w:sz w:val="18"/>
                <w:szCs w:val="18"/>
              </w:rPr>
            </w:pPr>
            <w:r w:rsidRPr="00CE585D">
              <w:rPr>
                <w:sz w:val="18"/>
                <w:szCs w:val="18"/>
              </w:rPr>
              <w:t>Evidence-based 5-category patient classification system based on agreed-upon risk tolerance levels</w:t>
            </w:r>
          </w:p>
        </w:tc>
        <w:tc>
          <w:tcPr>
            <w:tcW w:w="2448" w:type="dxa"/>
          </w:tcPr>
          <w:p w:rsidR="00CF127C" w:rsidRPr="00CE585D" w:rsidRDefault="00CF127C" w:rsidP="0084105C">
            <w:pPr>
              <w:spacing w:before="60" w:after="60"/>
              <w:rPr>
                <w:sz w:val="18"/>
                <w:szCs w:val="18"/>
              </w:rPr>
            </w:pPr>
            <w:r w:rsidRPr="00CE585D">
              <w:rPr>
                <w:i/>
                <w:sz w:val="18"/>
                <w:szCs w:val="18"/>
              </w:rPr>
              <w:t xml:space="preserve">Barriers: </w:t>
            </w:r>
            <w:r w:rsidRPr="00CE585D">
              <w:rPr>
                <w:sz w:val="18"/>
                <w:szCs w:val="18"/>
              </w:rPr>
              <w:t>absence of evidence that expert opinion-based system would result in safe practice; did not include experts from broad range of hospital types</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lastRenderedPageBreak/>
              <w:t>Lurie, 2008</w:t>
            </w:r>
            <w:r w:rsidRPr="0023334B">
              <w:rPr>
                <w:noProof/>
                <w:sz w:val="18"/>
                <w:szCs w:val="18"/>
                <w:vertAlign w:val="superscript"/>
              </w:rPr>
              <w:t>194</w:t>
            </w:r>
          </w:p>
        </w:tc>
        <w:tc>
          <w:tcPr>
            <w:tcW w:w="1242" w:type="dxa"/>
          </w:tcPr>
          <w:p w:rsidR="00CF127C" w:rsidRPr="00CE585D" w:rsidRDefault="00CF127C" w:rsidP="0084105C">
            <w:pPr>
              <w:spacing w:before="60"/>
              <w:ind w:left="116" w:hanging="116"/>
              <w:rPr>
                <w:sz w:val="18"/>
                <w:szCs w:val="18"/>
              </w:rPr>
            </w:pPr>
            <w:r>
              <w:rPr>
                <w:sz w:val="18"/>
                <w:szCs w:val="18"/>
              </w:rPr>
              <w:t>Providers</w:t>
            </w:r>
          </w:p>
        </w:tc>
        <w:tc>
          <w:tcPr>
            <w:tcW w:w="904" w:type="dxa"/>
          </w:tcPr>
          <w:p w:rsidR="00CF127C" w:rsidRPr="00CE585D" w:rsidRDefault="00CF127C" w:rsidP="0084105C">
            <w:pPr>
              <w:spacing w:before="60"/>
              <w:rPr>
                <w:sz w:val="18"/>
                <w:szCs w:val="18"/>
              </w:rPr>
            </w:pPr>
            <w:r w:rsidRPr="00CE585D">
              <w:rPr>
                <w:sz w:val="18"/>
                <w:szCs w:val="18"/>
              </w:rPr>
              <w:t xml:space="preserve">2 </w:t>
            </w:r>
            <w:smartTag w:uri="urn:schemas-microsoft-com:office:smarttags" w:element="place">
              <w:smartTag w:uri="urn:schemas-microsoft-com:office:smarttags" w:element="country-region">
                <w:r w:rsidRPr="00CE585D">
                  <w:rPr>
                    <w:sz w:val="18"/>
                    <w:szCs w:val="18"/>
                  </w:rPr>
                  <w:t>US</w:t>
                </w:r>
              </w:smartTag>
            </w:smartTag>
            <w:r w:rsidRPr="00CE585D">
              <w:rPr>
                <w:sz w:val="18"/>
                <w:szCs w:val="18"/>
              </w:rPr>
              <w:t xml:space="preserve"> localities and 3 regions (not specified)</w:t>
            </w:r>
          </w:p>
        </w:tc>
        <w:tc>
          <w:tcPr>
            <w:tcW w:w="1296" w:type="dxa"/>
          </w:tcPr>
          <w:p w:rsidR="00CF127C" w:rsidRPr="00CE585D" w:rsidRDefault="00CF127C" w:rsidP="0084105C">
            <w:pPr>
              <w:spacing w:before="60"/>
              <w:rPr>
                <w:sz w:val="18"/>
                <w:szCs w:val="18"/>
              </w:rPr>
            </w:pPr>
            <w:r w:rsidRPr="00CE585D">
              <w:rPr>
                <w:sz w:val="18"/>
                <w:szCs w:val="18"/>
              </w:rPr>
              <w:t>Tabletop exercises</w:t>
            </w:r>
          </w:p>
        </w:tc>
        <w:tc>
          <w:tcPr>
            <w:tcW w:w="1296" w:type="dxa"/>
          </w:tcPr>
          <w:p w:rsidR="00CF127C" w:rsidRPr="00CE585D" w:rsidRDefault="00CF127C" w:rsidP="0084105C">
            <w:pPr>
              <w:spacing w:before="60"/>
              <w:jc w:val="center"/>
              <w:rPr>
                <w:sz w:val="18"/>
                <w:szCs w:val="18"/>
              </w:rPr>
            </w:pPr>
            <w:r w:rsidRPr="00CE585D">
              <w:rPr>
                <w:sz w:val="18"/>
                <w:szCs w:val="18"/>
              </w:rPr>
              <w:t>Pandemic influenza</w:t>
            </w:r>
          </w:p>
        </w:tc>
        <w:tc>
          <w:tcPr>
            <w:tcW w:w="2016" w:type="dxa"/>
          </w:tcPr>
          <w:p w:rsidR="00CF127C" w:rsidRPr="00CE585D" w:rsidRDefault="00CF127C" w:rsidP="0084105C">
            <w:pPr>
              <w:spacing w:before="60"/>
              <w:rPr>
                <w:sz w:val="18"/>
                <w:szCs w:val="18"/>
              </w:rPr>
            </w:pPr>
            <w:r w:rsidRPr="00CE585D">
              <w:rPr>
                <w:sz w:val="18"/>
                <w:szCs w:val="18"/>
              </w:rPr>
              <w:t>Pilot testing of local, regional and national level tabletop exercises for the Veterans Health Administration (VHA)</w:t>
            </w:r>
          </w:p>
        </w:tc>
        <w:tc>
          <w:tcPr>
            <w:tcW w:w="1890" w:type="dxa"/>
          </w:tcPr>
          <w:p w:rsidR="00CF127C" w:rsidRPr="00CE585D" w:rsidRDefault="00CF127C" w:rsidP="0084105C">
            <w:pPr>
              <w:spacing w:before="60"/>
              <w:rPr>
                <w:sz w:val="18"/>
                <w:szCs w:val="18"/>
              </w:rPr>
            </w:pPr>
            <w:r w:rsidRPr="00CE585D">
              <w:rPr>
                <w:sz w:val="18"/>
                <w:szCs w:val="18"/>
              </w:rPr>
              <w:t xml:space="preserve">Central federal health provider agency (VHA) </w:t>
            </w:r>
            <w:r w:rsidRPr="00CE585D">
              <w:rPr>
                <w:i/>
                <w:sz w:val="18"/>
                <w:szCs w:val="18"/>
              </w:rPr>
              <w:t xml:space="preserve">engaged </w:t>
            </w:r>
            <w:r w:rsidRPr="00CE585D">
              <w:rPr>
                <w:sz w:val="18"/>
                <w:szCs w:val="18"/>
              </w:rPr>
              <w:t>local and regional VA hospitals and non-hospital facilities, local hospitals, state and local PH and local first responders</w:t>
            </w:r>
          </w:p>
        </w:tc>
        <w:tc>
          <w:tcPr>
            <w:tcW w:w="2160" w:type="dxa"/>
          </w:tcPr>
          <w:p w:rsidR="00CF127C" w:rsidRPr="00CE585D" w:rsidRDefault="00CF127C" w:rsidP="0084105C">
            <w:pPr>
              <w:spacing w:before="60"/>
              <w:rPr>
                <w:sz w:val="18"/>
                <w:szCs w:val="18"/>
              </w:rPr>
            </w:pPr>
            <w:r w:rsidRPr="00CE585D">
              <w:rPr>
                <w:sz w:val="18"/>
                <w:szCs w:val="18"/>
              </w:rPr>
              <w:t xml:space="preserve">Tested tabletop exercise templates for local and regional use by VA system, engaging government and public and private providers </w:t>
            </w:r>
          </w:p>
        </w:tc>
        <w:tc>
          <w:tcPr>
            <w:tcW w:w="2448" w:type="dxa"/>
          </w:tcPr>
          <w:p w:rsidR="00CF127C" w:rsidRPr="00CE585D" w:rsidRDefault="00CF127C" w:rsidP="0084105C">
            <w:pPr>
              <w:spacing w:before="60" w:after="60"/>
              <w:rPr>
                <w:sz w:val="18"/>
                <w:szCs w:val="18"/>
              </w:rPr>
            </w:pPr>
            <w:r w:rsidRPr="00CE585D">
              <w:rPr>
                <w:i/>
                <w:sz w:val="18"/>
                <w:szCs w:val="18"/>
              </w:rPr>
              <w:t>Facilitators:</w:t>
            </w:r>
            <w:r w:rsidRPr="00CE585D">
              <w:rPr>
                <w:sz w:val="18"/>
                <w:szCs w:val="18"/>
              </w:rPr>
              <w:t xml:space="preserve"> ability to share and use exercise templates across VA system nationwide, VA engagement with local communities, mutual respect between local VA providers and their communities, integrated VA health system with electronic health records and hotlines enable patient flow management</w:t>
            </w:r>
          </w:p>
          <w:p w:rsidR="00CF127C" w:rsidRPr="00CE585D" w:rsidRDefault="00CF127C" w:rsidP="0084105C">
            <w:pPr>
              <w:spacing w:before="60" w:after="60"/>
              <w:rPr>
                <w:sz w:val="18"/>
                <w:szCs w:val="18"/>
              </w:rPr>
            </w:pPr>
            <w:r w:rsidRPr="00CE585D">
              <w:rPr>
                <w:sz w:val="18"/>
                <w:szCs w:val="18"/>
              </w:rPr>
              <w:t>Barriers: unclear who decides on resource sharing between VA and local facilities, different levels of care between VA and local hospitals, organizational culture differences between VA and local providers (command vs. collaboration)</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Terriff, 2001</w:t>
            </w:r>
            <w:r w:rsidRPr="0023334B">
              <w:rPr>
                <w:noProof/>
                <w:sz w:val="18"/>
                <w:szCs w:val="18"/>
                <w:vertAlign w:val="superscript"/>
              </w:rPr>
              <w:t>192</w:t>
            </w:r>
          </w:p>
        </w:tc>
        <w:tc>
          <w:tcPr>
            <w:tcW w:w="1242" w:type="dxa"/>
          </w:tcPr>
          <w:p w:rsidR="00CF127C" w:rsidRPr="00CE585D" w:rsidRDefault="00CF127C" w:rsidP="0084105C">
            <w:pPr>
              <w:spacing w:before="60"/>
              <w:ind w:left="116" w:hanging="116"/>
              <w:rPr>
                <w:sz w:val="18"/>
                <w:szCs w:val="18"/>
              </w:rPr>
            </w:pPr>
            <w:r>
              <w:rPr>
                <w:sz w:val="18"/>
                <w:szCs w:val="18"/>
              </w:rPr>
              <w:t>Providers</w:t>
            </w:r>
          </w:p>
        </w:tc>
        <w:tc>
          <w:tcPr>
            <w:tcW w:w="904" w:type="dxa"/>
          </w:tcPr>
          <w:p w:rsidR="00CF127C" w:rsidRPr="00CE585D" w:rsidRDefault="00CF127C" w:rsidP="0084105C">
            <w:pPr>
              <w:spacing w:before="60"/>
              <w:rPr>
                <w:sz w:val="18"/>
                <w:szCs w:val="18"/>
              </w:rPr>
            </w:pPr>
            <w:smartTag w:uri="urn:schemas-microsoft-com:office:smarttags" w:element="place">
              <w:smartTag w:uri="urn:schemas-microsoft-com:office:smarttags" w:element="City">
                <w:r w:rsidRPr="00CE585D">
                  <w:rPr>
                    <w:sz w:val="18"/>
                    <w:szCs w:val="18"/>
                  </w:rPr>
                  <w:t>Spokane</w:t>
                </w:r>
              </w:smartTag>
              <w:r w:rsidRPr="00CE585D">
                <w:rPr>
                  <w:sz w:val="18"/>
                  <w:szCs w:val="18"/>
                </w:rPr>
                <w:t xml:space="preserve">, </w:t>
              </w:r>
              <w:smartTag w:uri="urn:schemas-microsoft-com:office:smarttags" w:element="State">
                <w:r w:rsidRPr="00CE585D">
                  <w:rPr>
                    <w:sz w:val="18"/>
                    <w:szCs w:val="18"/>
                  </w:rPr>
                  <w:t>WA</w:t>
                </w:r>
              </w:smartTag>
            </w:smartTag>
            <w:r w:rsidRPr="00CE585D">
              <w:rPr>
                <w:sz w:val="18"/>
                <w:szCs w:val="18"/>
              </w:rPr>
              <w:t xml:space="preserve"> (regional level)</w:t>
            </w:r>
          </w:p>
        </w:tc>
        <w:tc>
          <w:tcPr>
            <w:tcW w:w="1296" w:type="dxa"/>
          </w:tcPr>
          <w:p w:rsidR="00CF127C" w:rsidRPr="00CE585D" w:rsidRDefault="00CF127C" w:rsidP="0084105C">
            <w:pPr>
              <w:spacing w:before="60"/>
              <w:rPr>
                <w:sz w:val="18"/>
                <w:szCs w:val="18"/>
              </w:rPr>
            </w:pPr>
            <w:r w:rsidRPr="00CE585D">
              <w:rPr>
                <w:sz w:val="18"/>
                <w:szCs w:val="18"/>
              </w:rPr>
              <w:t>Descriptive – planning, tabletop exercise</w:t>
            </w:r>
          </w:p>
        </w:tc>
        <w:tc>
          <w:tcPr>
            <w:tcW w:w="1296" w:type="dxa"/>
          </w:tcPr>
          <w:p w:rsidR="00CF127C" w:rsidRPr="00CE585D" w:rsidRDefault="00CF127C" w:rsidP="0084105C">
            <w:pPr>
              <w:spacing w:before="60"/>
              <w:jc w:val="center"/>
              <w:rPr>
                <w:sz w:val="18"/>
                <w:szCs w:val="18"/>
              </w:rPr>
            </w:pPr>
            <w:r w:rsidRPr="00CE585D">
              <w:rPr>
                <w:sz w:val="18"/>
                <w:szCs w:val="18"/>
              </w:rPr>
              <w:t>Biological</w:t>
            </w:r>
          </w:p>
        </w:tc>
        <w:tc>
          <w:tcPr>
            <w:tcW w:w="2016" w:type="dxa"/>
          </w:tcPr>
          <w:p w:rsidR="00CF127C" w:rsidRPr="00CE585D" w:rsidRDefault="00CF127C" w:rsidP="0084105C">
            <w:pPr>
              <w:spacing w:before="60"/>
              <w:rPr>
                <w:sz w:val="18"/>
                <w:szCs w:val="18"/>
              </w:rPr>
            </w:pPr>
            <w:r w:rsidRPr="00CE585D">
              <w:rPr>
                <w:sz w:val="18"/>
                <w:szCs w:val="18"/>
              </w:rPr>
              <w:t>Pharmacy-led development of regional pharmaceutical preparedness policies and procedures (protocol) for response to BT event -- pre-911</w:t>
            </w:r>
          </w:p>
        </w:tc>
        <w:tc>
          <w:tcPr>
            <w:tcW w:w="1890" w:type="dxa"/>
          </w:tcPr>
          <w:p w:rsidR="00CF127C" w:rsidRPr="00CE585D" w:rsidRDefault="00CF127C" w:rsidP="0084105C">
            <w:pPr>
              <w:spacing w:before="60"/>
              <w:rPr>
                <w:sz w:val="18"/>
                <w:szCs w:val="18"/>
              </w:rPr>
            </w:pPr>
            <w:r w:rsidRPr="00CE585D">
              <w:rPr>
                <w:sz w:val="18"/>
                <w:szCs w:val="18"/>
              </w:rPr>
              <w:t xml:space="preserve">Hospital pharmacy department, </w:t>
            </w:r>
            <w:smartTag w:uri="urn:schemas-microsoft-com:office:smarttags" w:element="place">
              <w:smartTag w:uri="urn:schemas-microsoft-com:office:smarttags" w:element="PlaceType">
                <w:r w:rsidRPr="00CE585D">
                  <w:rPr>
                    <w:sz w:val="18"/>
                    <w:szCs w:val="18"/>
                  </w:rPr>
                  <w:t>county</w:t>
                </w:r>
              </w:smartTag>
              <w:r w:rsidRPr="00CE585D">
                <w:rPr>
                  <w:sz w:val="18"/>
                  <w:szCs w:val="18"/>
                </w:rPr>
                <w:t xml:space="preserve"> </w:t>
              </w:r>
              <w:smartTag w:uri="urn:schemas-microsoft-com:office:smarttags" w:element="PlaceName">
                <w:r w:rsidRPr="00CE585D">
                  <w:rPr>
                    <w:sz w:val="18"/>
                    <w:szCs w:val="18"/>
                  </w:rPr>
                  <w:t>EMS</w:t>
                </w:r>
              </w:smartTag>
            </w:smartTag>
            <w:r w:rsidRPr="00CE585D">
              <w:rPr>
                <w:sz w:val="18"/>
                <w:szCs w:val="18"/>
              </w:rPr>
              <w:t xml:space="preserve"> and Army </w:t>
            </w:r>
            <w:r w:rsidRPr="00CE585D">
              <w:rPr>
                <w:i/>
                <w:sz w:val="18"/>
                <w:szCs w:val="18"/>
              </w:rPr>
              <w:t xml:space="preserve">engaged </w:t>
            </w:r>
            <w:r w:rsidRPr="00CE585D">
              <w:rPr>
                <w:sz w:val="18"/>
                <w:szCs w:val="18"/>
              </w:rPr>
              <w:t>first responders, hospitals, non-hospital facilities, FEMA, USPHS, FBI, and state PH</w:t>
            </w:r>
          </w:p>
        </w:tc>
        <w:tc>
          <w:tcPr>
            <w:tcW w:w="2160" w:type="dxa"/>
          </w:tcPr>
          <w:p w:rsidR="00CF127C" w:rsidRPr="00CE585D" w:rsidRDefault="00CF127C" w:rsidP="0084105C">
            <w:pPr>
              <w:spacing w:before="60"/>
              <w:rPr>
                <w:sz w:val="18"/>
                <w:szCs w:val="18"/>
              </w:rPr>
            </w:pPr>
            <w:r w:rsidRPr="00CE585D">
              <w:rPr>
                <w:sz w:val="18"/>
                <w:szCs w:val="18"/>
              </w:rPr>
              <w:t>Technical documentation &amp; city-wide policy and protocol for medical management of BT (obtaining antidotes), including plan for local stockpiles, resource sharing across region (city)</w:t>
            </w:r>
          </w:p>
        </w:tc>
        <w:tc>
          <w:tcPr>
            <w:tcW w:w="2448" w:type="dxa"/>
          </w:tcPr>
          <w:p w:rsidR="00CF127C" w:rsidRPr="00CE585D" w:rsidRDefault="00CF127C" w:rsidP="0084105C">
            <w:pPr>
              <w:spacing w:before="60"/>
              <w:rPr>
                <w:sz w:val="18"/>
                <w:szCs w:val="18"/>
              </w:rPr>
            </w:pPr>
            <w:r w:rsidRPr="00CE585D">
              <w:rPr>
                <w:i/>
                <w:sz w:val="18"/>
                <w:szCs w:val="18"/>
              </w:rPr>
              <w:t>Facilitator:</w:t>
            </w:r>
            <w:r w:rsidRPr="00CE585D">
              <w:rPr>
                <w:sz w:val="18"/>
                <w:szCs w:val="18"/>
              </w:rPr>
              <w:t xml:space="preserve"> Initiative of pharmacy department in one hospital and interest of all participants in city-wide planning</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lastRenderedPageBreak/>
              <w:t>Buehler, 2006</w:t>
            </w:r>
            <w:r w:rsidRPr="0023334B">
              <w:rPr>
                <w:noProof/>
                <w:sz w:val="18"/>
                <w:szCs w:val="18"/>
                <w:vertAlign w:val="superscript"/>
              </w:rPr>
              <w:t>187</w:t>
            </w:r>
          </w:p>
        </w:tc>
        <w:tc>
          <w:tcPr>
            <w:tcW w:w="1242" w:type="dxa"/>
          </w:tcPr>
          <w:p w:rsidR="00CF127C" w:rsidRPr="00CE585D" w:rsidRDefault="00CF127C" w:rsidP="0084105C">
            <w:pPr>
              <w:spacing w:before="60"/>
              <w:ind w:left="116" w:hanging="116"/>
              <w:rPr>
                <w:sz w:val="18"/>
                <w:szCs w:val="18"/>
              </w:rPr>
            </w:pPr>
            <w:r>
              <w:rPr>
                <w:sz w:val="18"/>
                <w:szCs w:val="18"/>
              </w:rPr>
              <w:t>Policy makers</w:t>
            </w:r>
          </w:p>
        </w:tc>
        <w:tc>
          <w:tcPr>
            <w:tcW w:w="904" w:type="dxa"/>
          </w:tcPr>
          <w:p w:rsidR="00CF127C" w:rsidRPr="00CE585D" w:rsidRDefault="00CF127C" w:rsidP="0084105C">
            <w:pPr>
              <w:spacing w:before="60"/>
              <w:rPr>
                <w:sz w:val="18"/>
                <w:szCs w:val="18"/>
              </w:rPr>
            </w:pPr>
            <w:r w:rsidRPr="00CE585D">
              <w:rPr>
                <w:sz w:val="18"/>
                <w:szCs w:val="18"/>
              </w:rPr>
              <w:t>GA (metro-politan level)</w:t>
            </w:r>
          </w:p>
        </w:tc>
        <w:tc>
          <w:tcPr>
            <w:tcW w:w="1296" w:type="dxa"/>
          </w:tcPr>
          <w:p w:rsidR="00CF127C" w:rsidRPr="00CE585D" w:rsidRDefault="00CF127C" w:rsidP="0084105C">
            <w:pPr>
              <w:spacing w:before="60"/>
              <w:rPr>
                <w:sz w:val="18"/>
                <w:szCs w:val="18"/>
              </w:rPr>
            </w:pPr>
            <w:r w:rsidRPr="00CE585D">
              <w:rPr>
                <w:sz w:val="18"/>
                <w:szCs w:val="18"/>
              </w:rPr>
              <w:t>Descriptive -- case study of operational partnership</w:t>
            </w:r>
          </w:p>
        </w:tc>
        <w:tc>
          <w:tcPr>
            <w:tcW w:w="1296" w:type="dxa"/>
          </w:tcPr>
          <w:p w:rsidR="00CF127C" w:rsidRPr="00CE585D" w:rsidRDefault="00CF127C" w:rsidP="0084105C">
            <w:pPr>
              <w:spacing w:before="60"/>
              <w:jc w:val="center"/>
              <w:rPr>
                <w:sz w:val="18"/>
                <w:szCs w:val="18"/>
              </w:rPr>
            </w:pPr>
            <w:r w:rsidRPr="00CE585D">
              <w:rPr>
                <w:sz w:val="18"/>
                <w:szCs w:val="18"/>
              </w:rPr>
              <w:t>Unspecified</w:t>
            </w:r>
          </w:p>
        </w:tc>
        <w:tc>
          <w:tcPr>
            <w:tcW w:w="2016" w:type="dxa"/>
          </w:tcPr>
          <w:p w:rsidR="00CF127C" w:rsidRPr="00CE585D" w:rsidRDefault="00CF127C" w:rsidP="0084105C">
            <w:pPr>
              <w:spacing w:before="60"/>
              <w:rPr>
                <w:sz w:val="18"/>
                <w:szCs w:val="18"/>
              </w:rPr>
            </w:pPr>
            <w:r w:rsidRPr="00CE585D">
              <w:rPr>
                <w:sz w:val="18"/>
                <w:szCs w:val="18"/>
              </w:rPr>
              <w:t>Public health-business partnership for mass dispensing</w:t>
            </w:r>
          </w:p>
        </w:tc>
        <w:tc>
          <w:tcPr>
            <w:tcW w:w="1890" w:type="dxa"/>
          </w:tcPr>
          <w:p w:rsidR="00CF127C" w:rsidRPr="00CE585D" w:rsidRDefault="00CF127C" w:rsidP="0084105C">
            <w:pPr>
              <w:spacing w:before="60"/>
              <w:rPr>
                <w:sz w:val="18"/>
                <w:szCs w:val="18"/>
              </w:rPr>
            </w:pPr>
            <w:r w:rsidRPr="00CE585D">
              <w:rPr>
                <w:sz w:val="18"/>
                <w:szCs w:val="18"/>
              </w:rPr>
              <w:t xml:space="preserve">State and local PH and voluntary business coalition </w:t>
            </w:r>
            <w:r w:rsidRPr="00CE585D">
              <w:rPr>
                <w:i/>
                <w:sz w:val="18"/>
                <w:szCs w:val="18"/>
              </w:rPr>
              <w:t xml:space="preserve">engaged </w:t>
            </w:r>
            <w:r w:rsidRPr="00CE585D">
              <w:rPr>
                <w:sz w:val="18"/>
                <w:szCs w:val="18"/>
              </w:rPr>
              <w:t xml:space="preserve">local PH, schools, businesses </w:t>
            </w:r>
          </w:p>
        </w:tc>
        <w:tc>
          <w:tcPr>
            <w:tcW w:w="2160" w:type="dxa"/>
          </w:tcPr>
          <w:p w:rsidR="00CF127C" w:rsidRPr="00CE585D" w:rsidRDefault="00CF127C" w:rsidP="0084105C">
            <w:pPr>
              <w:spacing w:before="60"/>
              <w:rPr>
                <w:sz w:val="18"/>
                <w:szCs w:val="18"/>
              </w:rPr>
            </w:pPr>
            <w:r w:rsidRPr="00CE585D">
              <w:rPr>
                <w:sz w:val="18"/>
                <w:szCs w:val="18"/>
              </w:rPr>
              <w:t>1200 business volunteers participated in 3 mass dispensing drills at public and business sites</w:t>
            </w:r>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Personal relationships, business commitment to service, strategic engagement by senior business and government officials, business model, conceptual link between business and community continuity, links to multiple government agencies </w:t>
            </w:r>
          </w:p>
          <w:p w:rsidR="00CF127C" w:rsidRPr="00CE585D" w:rsidRDefault="00CF127C" w:rsidP="0084105C">
            <w:pPr>
              <w:spacing w:before="120" w:after="60"/>
              <w:rPr>
                <w:sz w:val="18"/>
                <w:szCs w:val="18"/>
              </w:rPr>
            </w:pPr>
            <w:r w:rsidRPr="00CE585D">
              <w:rPr>
                <w:i/>
                <w:sz w:val="18"/>
                <w:szCs w:val="18"/>
              </w:rPr>
              <w:t xml:space="preserve">Barriers: </w:t>
            </w:r>
            <w:r w:rsidRPr="00CE585D">
              <w:rPr>
                <w:sz w:val="18"/>
                <w:szCs w:val="18"/>
              </w:rPr>
              <w:t>government procurement regulations; potential shifts in government priorities; different management styles; occasional government disorganization; confidentiality of proprietary information; liability; ongoing differences in perspective</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Dausey, 2006</w:t>
            </w:r>
            <w:r w:rsidRPr="0023334B">
              <w:rPr>
                <w:noProof/>
                <w:sz w:val="18"/>
                <w:szCs w:val="18"/>
                <w:vertAlign w:val="superscript"/>
              </w:rPr>
              <w:t>195</w:t>
            </w:r>
          </w:p>
        </w:tc>
        <w:tc>
          <w:tcPr>
            <w:tcW w:w="1242" w:type="dxa"/>
          </w:tcPr>
          <w:p w:rsidR="00CF127C" w:rsidRPr="00CE585D" w:rsidRDefault="00CF127C" w:rsidP="0084105C">
            <w:pPr>
              <w:spacing w:before="60" w:after="60"/>
              <w:ind w:left="115" w:hanging="115"/>
              <w:rPr>
                <w:sz w:val="18"/>
                <w:szCs w:val="18"/>
              </w:rPr>
            </w:pPr>
            <w:r>
              <w:rPr>
                <w:sz w:val="18"/>
                <w:szCs w:val="18"/>
              </w:rPr>
              <w:t>Policy makers</w:t>
            </w:r>
          </w:p>
        </w:tc>
        <w:tc>
          <w:tcPr>
            <w:tcW w:w="904" w:type="dxa"/>
          </w:tcPr>
          <w:p w:rsidR="00CF127C" w:rsidRPr="00CE585D" w:rsidRDefault="00CF127C" w:rsidP="0084105C">
            <w:pPr>
              <w:spacing w:before="60"/>
              <w:rPr>
                <w:sz w:val="18"/>
                <w:szCs w:val="18"/>
              </w:rPr>
            </w:pPr>
            <w:r w:rsidRPr="00CE585D">
              <w:rPr>
                <w:sz w:val="18"/>
                <w:szCs w:val="18"/>
              </w:rPr>
              <w:t xml:space="preserve">Three </w:t>
            </w:r>
            <w:smartTag w:uri="urn:schemas-microsoft-com:office:smarttags" w:element="place">
              <w:smartTag w:uri="urn:schemas-microsoft-com:office:smarttags" w:element="country-region">
                <w:r w:rsidRPr="00CE585D">
                  <w:rPr>
                    <w:sz w:val="18"/>
                    <w:szCs w:val="18"/>
                  </w:rPr>
                  <w:t>US</w:t>
                </w:r>
              </w:smartTag>
            </w:smartTag>
            <w:r w:rsidRPr="00CE585D">
              <w:rPr>
                <w:sz w:val="18"/>
                <w:szCs w:val="18"/>
              </w:rPr>
              <w:t xml:space="preserve"> metropolitan areas (not specified)</w:t>
            </w:r>
          </w:p>
        </w:tc>
        <w:tc>
          <w:tcPr>
            <w:tcW w:w="1296" w:type="dxa"/>
          </w:tcPr>
          <w:p w:rsidR="00CF127C" w:rsidRPr="00CE585D" w:rsidRDefault="00CF127C" w:rsidP="0084105C">
            <w:pPr>
              <w:spacing w:before="60"/>
              <w:rPr>
                <w:sz w:val="18"/>
                <w:szCs w:val="18"/>
              </w:rPr>
            </w:pPr>
            <w:r w:rsidRPr="00CE585D">
              <w:rPr>
                <w:sz w:val="18"/>
                <w:szCs w:val="18"/>
              </w:rPr>
              <w:t>Tabletop exercises</w:t>
            </w:r>
          </w:p>
        </w:tc>
        <w:tc>
          <w:tcPr>
            <w:tcW w:w="1296" w:type="dxa"/>
          </w:tcPr>
          <w:p w:rsidR="00CF127C" w:rsidRPr="00CE585D" w:rsidRDefault="00CF127C" w:rsidP="0084105C">
            <w:pPr>
              <w:spacing w:before="60"/>
              <w:jc w:val="center"/>
              <w:rPr>
                <w:sz w:val="18"/>
                <w:szCs w:val="18"/>
              </w:rPr>
            </w:pPr>
            <w:r w:rsidRPr="00CE585D">
              <w:rPr>
                <w:sz w:val="18"/>
                <w:szCs w:val="18"/>
              </w:rPr>
              <w:t>Pandemic influenza</w:t>
            </w:r>
          </w:p>
        </w:tc>
        <w:tc>
          <w:tcPr>
            <w:tcW w:w="2016" w:type="dxa"/>
          </w:tcPr>
          <w:p w:rsidR="00CF127C" w:rsidRPr="00CE585D" w:rsidRDefault="00CF127C" w:rsidP="0084105C">
            <w:pPr>
              <w:spacing w:before="60"/>
              <w:rPr>
                <w:sz w:val="18"/>
                <w:szCs w:val="18"/>
              </w:rPr>
            </w:pPr>
            <w:r w:rsidRPr="00CE585D">
              <w:rPr>
                <w:sz w:val="18"/>
                <w:szCs w:val="18"/>
              </w:rPr>
              <w:t xml:space="preserve">Development and pilot testing of tabletop exercise template for local level governments and providers </w:t>
            </w:r>
          </w:p>
        </w:tc>
        <w:tc>
          <w:tcPr>
            <w:tcW w:w="1890" w:type="dxa"/>
          </w:tcPr>
          <w:p w:rsidR="00CF127C" w:rsidRPr="00CE585D" w:rsidRDefault="00CF127C" w:rsidP="0084105C">
            <w:pPr>
              <w:spacing w:before="60"/>
              <w:rPr>
                <w:sz w:val="18"/>
                <w:szCs w:val="18"/>
              </w:rPr>
            </w:pPr>
            <w:r w:rsidRPr="00CE585D">
              <w:rPr>
                <w:sz w:val="18"/>
                <w:szCs w:val="18"/>
              </w:rPr>
              <w:t xml:space="preserve">State PH and RAND </w:t>
            </w:r>
            <w:r w:rsidRPr="00CE585D">
              <w:rPr>
                <w:i/>
                <w:sz w:val="18"/>
                <w:szCs w:val="18"/>
              </w:rPr>
              <w:t xml:space="preserve">engaged </w:t>
            </w:r>
            <w:r w:rsidRPr="00CE585D">
              <w:rPr>
                <w:sz w:val="18"/>
                <w:szCs w:val="18"/>
              </w:rPr>
              <w:t>local PH &amp; elected officials, hospitals and private practitioners, law enforcement</w:t>
            </w:r>
          </w:p>
        </w:tc>
        <w:tc>
          <w:tcPr>
            <w:tcW w:w="2160" w:type="dxa"/>
          </w:tcPr>
          <w:p w:rsidR="00CF127C" w:rsidRPr="00CE585D" w:rsidRDefault="00CF127C" w:rsidP="0084105C">
            <w:pPr>
              <w:spacing w:before="60"/>
              <w:rPr>
                <w:sz w:val="18"/>
                <w:szCs w:val="18"/>
              </w:rPr>
            </w:pPr>
            <w:r w:rsidRPr="00CE585D">
              <w:rPr>
                <w:sz w:val="18"/>
                <w:szCs w:val="18"/>
              </w:rPr>
              <w:t xml:space="preserve">Tested tabletop exercise template applicable to localities across the </w:t>
            </w:r>
            <w:smartTag w:uri="urn:schemas-microsoft-com:office:smarttags" w:element="place">
              <w:smartTag w:uri="urn:schemas-microsoft-com:office:smarttags" w:element="country-region">
                <w:r w:rsidRPr="00CE585D">
                  <w:rPr>
                    <w:sz w:val="18"/>
                    <w:szCs w:val="18"/>
                  </w:rPr>
                  <w:t>U.S.</w:t>
                </w:r>
              </w:smartTag>
            </w:smartTag>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Excellence of technical partner, willingness of participants</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Ginter, 2010</w:t>
            </w:r>
            <w:r w:rsidRPr="0023334B">
              <w:rPr>
                <w:noProof/>
                <w:sz w:val="18"/>
                <w:szCs w:val="18"/>
                <w:vertAlign w:val="superscript"/>
              </w:rPr>
              <w:t>188</w:t>
            </w:r>
          </w:p>
        </w:tc>
        <w:tc>
          <w:tcPr>
            <w:tcW w:w="1242" w:type="dxa"/>
          </w:tcPr>
          <w:p w:rsidR="00CF127C" w:rsidRPr="00CE585D" w:rsidRDefault="00CF127C" w:rsidP="0084105C">
            <w:pPr>
              <w:spacing w:before="60"/>
              <w:ind w:left="116" w:hanging="116"/>
              <w:rPr>
                <w:sz w:val="18"/>
                <w:szCs w:val="18"/>
              </w:rPr>
            </w:pPr>
            <w:r>
              <w:rPr>
                <w:sz w:val="18"/>
                <w:szCs w:val="18"/>
              </w:rPr>
              <w:t>Policy makers</w:t>
            </w:r>
          </w:p>
        </w:tc>
        <w:tc>
          <w:tcPr>
            <w:tcW w:w="904" w:type="dxa"/>
          </w:tcPr>
          <w:p w:rsidR="00CF127C" w:rsidRPr="00CE585D" w:rsidRDefault="00CF127C" w:rsidP="0084105C">
            <w:pPr>
              <w:spacing w:before="60"/>
              <w:rPr>
                <w:sz w:val="18"/>
                <w:szCs w:val="18"/>
              </w:rPr>
            </w:pPr>
            <w:r w:rsidRPr="00CE585D">
              <w:rPr>
                <w:sz w:val="18"/>
                <w:szCs w:val="18"/>
              </w:rPr>
              <w:t>AL, MI, FL, LA, TN</w:t>
            </w:r>
          </w:p>
        </w:tc>
        <w:tc>
          <w:tcPr>
            <w:tcW w:w="1296" w:type="dxa"/>
          </w:tcPr>
          <w:p w:rsidR="00CF127C" w:rsidRPr="00CE585D" w:rsidRDefault="00CF127C" w:rsidP="0084105C">
            <w:pPr>
              <w:spacing w:before="60"/>
              <w:rPr>
                <w:sz w:val="18"/>
                <w:szCs w:val="18"/>
              </w:rPr>
            </w:pPr>
            <w:r w:rsidRPr="00CE585D">
              <w:rPr>
                <w:sz w:val="18"/>
                <w:szCs w:val="18"/>
              </w:rPr>
              <w:t>Descriptive – planning process</w:t>
            </w:r>
          </w:p>
        </w:tc>
        <w:tc>
          <w:tcPr>
            <w:tcW w:w="1296" w:type="dxa"/>
          </w:tcPr>
          <w:p w:rsidR="00CF127C" w:rsidRPr="00CE585D" w:rsidRDefault="00CF127C" w:rsidP="0084105C">
            <w:pPr>
              <w:spacing w:before="60"/>
              <w:jc w:val="center"/>
              <w:rPr>
                <w:sz w:val="18"/>
                <w:szCs w:val="18"/>
              </w:rPr>
            </w:pPr>
            <w:r w:rsidRPr="00CE585D">
              <w:rPr>
                <w:sz w:val="18"/>
                <w:szCs w:val="18"/>
              </w:rPr>
              <w:t>All-hazards  (“natural and manmade”)</w:t>
            </w:r>
          </w:p>
        </w:tc>
        <w:tc>
          <w:tcPr>
            <w:tcW w:w="2016" w:type="dxa"/>
          </w:tcPr>
          <w:p w:rsidR="00CF127C" w:rsidRPr="00CE585D" w:rsidRDefault="00CF127C" w:rsidP="0084105C">
            <w:pPr>
              <w:spacing w:before="60"/>
              <w:rPr>
                <w:sz w:val="18"/>
                <w:szCs w:val="18"/>
              </w:rPr>
            </w:pPr>
            <w:r w:rsidRPr="00CE585D">
              <w:rPr>
                <w:sz w:val="18"/>
                <w:szCs w:val="18"/>
              </w:rPr>
              <w:t>Organization of five neighboring states into a voluntary disaster pediatric surge network</w:t>
            </w:r>
          </w:p>
        </w:tc>
        <w:tc>
          <w:tcPr>
            <w:tcW w:w="1890" w:type="dxa"/>
          </w:tcPr>
          <w:p w:rsidR="00CF127C" w:rsidRPr="00CE585D" w:rsidRDefault="00CF127C" w:rsidP="0084105C">
            <w:pPr>
              <w:spacing w:before="60"/>
              <w:rPr>
                <w:sz w:val="18"/>
                <w:szCs w:val="18"/>
              </w:rPr>
            </w:pPr>
            <w:r w:rsidRPr="00CE585D">
              <w:rPr>
                <w:sz w:val="18"/>
                <w:szCs w:val="18"/>
              </w:rPr>
              <w:t xml:space="preserve">2 state PH and  regional PH preparedness center </w:t>
            </w:r>
            <w:r w:rsidRPr="00CE585D">
              <w:rPr>
                <w:i/>
                <w:sz w:val="18"/>
                <w:szCs w:val="18"/>
              </w:rPr>
              <w:t xml:space="preserve">engaged </w:t>
            </w:r>
            <w:r w:rsidRPr="00CE585D">
              <w:rPr>
                <w:sz w:val="18"/>
                <w:szCs w:val="18"/>
              </w:rPr>
              <w:t>pediatric hospitals and major clinics, state PH, and emergency responders</w:t>
            </w:r>
          </w:p>
        </w:tc>
        <w:tc>
          <w:tcPr>
            <w:tcW w:w="2160" w:type="dxa"/>
          </w:tcPr>
          <w:p w:rsidR="00CF127C" w:rsidRPr="00CE585D" w:rsidRDefault="00CF127C" w:rsidP="0084105C">
            <w:pPr>
              <w:spacing w:before="60"/>
              <w:ind w:hanging="18"/>
              <w:rPr>
                <w:sz w:val="18"/>
                <w:szCs w:val="18"/>
              </w:rPr>
            </w:pPr>
            <w:r w:rsidRPr="00CE585D">
              <w:rPr>
                <w:sz w:val="18"/>
                <w:szCs w:val="18"/>
              </w:rPr>
              <w:t>Established pediatric surge network, operational handbook, formal MOU</w:t>
            </w:r>
          </w:p>
        </w:tc>
        <w:tc>
          <w:tcPr>
            <w:tcW w:w="2448" w:type="dxa"/>
          </w:tcPr>
          <w:p w:rsidR="00CF127C" w:rsidRPr="00CE585D" w:rsidRDefault="00CF127C" w:rsidP="0084105C">
            <w:pPr>
              <w:spacing w:before="60"/>
              <w:rPr>
                <w:sz w:val="18"/>
                <w:szCs w:val="18"/>
              </w:rPr>
            </w:pPr>
            <w:r w:rsidRPr="00CE585D">
              <w:rPr>
                <w:i/>
                <w:sz w:val="18"/>
                <w:szCs w:val="18"/>
              </w:rPr>
              <w:t xml:space="preserve">Facilitators: </w:t>
            </w:r>
            <w:r w:rsidRPr="00CE585D">
              <w:rPr>
                <w:sz w:val="18"/>
                <w:szCs w:val="18"/>
              </w:rPr>
              <w:t>“Highly-reliable organization” model previously established and adaptable to surge network development</w:t>
            </w:r>
          </w:p>
          <w:p w:rsidR="00CF127C" w:rsidRPr="00CE585D" w:rsidRDefault="00CF127C" w:rsidP="0084105C">
            <w:pPr>
              <w:spacing w:before="120" w:after="60"/>
              <w:rPr>
                <w:sz w:val="18"/>
                <w:szCs w:val="18"/>
              </w:rPr>
            </w:pPr>
            <w:r w:rsidRPr="00CE585D">
              <w:rPr>
                <w:i/>
                <w:sz w:val="18"/>
                <w:szCs w:val="18"/>
              </w:rPr>
              <w:t xml:space="preserve">Barriers: </w:t>
            </w:r>
            <w:r w:rsidRPr="00CE585D">
              <w:rPr>
                <w:sz w:val="18"/>
                <w:szCs w:val="18"/>
              </w:rPr>
              <w:t>Planning process is time-consuming (5 yrs), inter-state agreements are more complicated than intra-state ones</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lastRenderedPageBreak/>
              <w:t>Koh, 2006</w:t>
            </w:r>
            <w:r w:rsidRPr="0023334B">
              <w:rPr>
                <w:noProof/>
                <w:sz w:val="18"/>
                <w:szCs w:val="18"/>
                <w:vertAlign w:val="superscript"/>
              </w:rPr>
              <w:t>190</w:t>
            </w:r>
          </w:p>
        </w:tc>
        <w:tc>
          <w:tcPr>
            <w:tcW w:w="1242" w:type="dxa"/>
          </w:tcPr>
          <w:p w:rsidR="00CF127C" w:rsidRPr="00CE585D" w:rsidRDefault="00CF127C" w:rsidP="0084105C">
            <w:pPr>
              <w:spacing w:before="60"/>
              <w:ind w:left="116" w:hanging="116"/>
              <w:rPr>
                <w:sz w:val="18"/>
                <w:szCs w:val="18"/>
              </w:rPr>
            </w:pPr>
            <w:r>
              <w:rPr>
                <w:sz w:val="18"/>
                <w:szCs w:val="18"/>
              </w:rPr>
              <w:t>Policy makers</w:t>
            </w:r>
          </w:p>
        </w:tc>
        <w:tc>
          <w:tcPr>
            <w:tcW w:w="904" w:type="dxa"/>
          </w:tcPr>
          <w:p w:rsidR="00CF127C" w:rsidRPr="00CE585D" w:rsidRDefault="00CF127C" w:rsidP="0084105C">
            <w:pPr>
              <w:spacing w:before="60"/>
              <w:rPr>
                <w:sz w:val="18"/>
                <w:szCs w:val="18"/>
              </w:rPr>
            </w:pPr>
            <w:smartTag w:uri="urn:schemas-microsoft-com:office:smarttags" w:element="place">
              <w:smartTag w:uri="urn:schemas-microsoft-com:office:smarttags" w:element="City">
                <w:r w:rsidRPr="00CE585D">
                  <w:rPr>
                    <w:sz w:val="18"/>
                    <w:szCs w:val="18"/>
                  </w:rPr>
                  <w:t>Boston</w:t>
                </w:r>
              </w:smartTag>
              <w:r w:rsidRPr="00CE585D">
                <w:rPr>
                  <w:sz w:val="18"/>
                  <w:szCs w:val="18"/>
                </w:rPr>
                <w:t xml:space="preserve">, </w:t>
              </w:r>
              <w:smartTag w:uri="urn:schemas-microsoft-com:office:smarttags" w:element="State">
                <w:r w:rsidRPr="00CE585D">
                  <w:rPr>
                    <w:sz w:val="18"/>
                    <w:szCs w:val="18"/>
                  </w:rPr>
                  <w:t>MA</w:t>
                </w:r>
              </w:smartTag>
            </w:smartTag>
          </w:p>
        </w:tc>
        <w:tc>
          <w:tcPr>
            <w:tcW w:w="1296" w:type="dxa"/>
          </w:tcPr>
          <w:p w:rsidR="00CF127C" w:rsidRPr="00CE585D" w:rsidRDefault="00CF127C" w:rsidP="0084105C">
            <w:pPr>
              <w:spacing w:before="60"/>
              <w:rPr>
                <w:sz w:val="18"/>
                <w:szCs w:val="18"/>
              </w:rPr>
            </w:pPr>
            <w:r w:rsidRPr="00CE585D">
              <w:rPr>
                <w:sz w:val="18"/>
                <w:szCs w:val="18"/>
              </w:rPr>
              <w:t>Descriptive – surge plan development, observational testing</w:t>
            </w:r>
          </w:p>
        </w:tc>
        <w:tc>
          <w:tcPr>
            <w:tcW w:w="1296" w:type="dxa"/>
          </w:tcPr>
          <w:p w:rsidR="00CF127C" w:rsidRPr="00CE585D" w:rsidRDefault="00CF127C" w:rsidP="0084105C">
            <w:pPr>
              <w:spacing w:before="60"/>
              <w:jc w:val="center"/>
              <w:rPr>
                <w:sz w:val="18"/>
                <w:szCs w:val="18"/>
              </w:rPr>
            </w:pPr>
            <w:r w:rsidRPr="00CE585D">
              <w:rPr>
                <w:sz w:val="18"/>
                <w:szCs w:val="18"/>
              </w:rPr>
              <w:t>Unspecified</w:t>
            </w:r>
          </w:p>
        </w:tc>
        <w:tc>
          <w:tcPr>
            <w:tcW w:w="2016" w:type="dxa"/>
          </w:tcPr>
          <w:p w:rsidR="00CF127C" w:rsidRPr="00CE585D" w:rsidRDefault="00CF127C" w:rsidP="0084105C">
            <w:pPr>
              <w:spacing w:before="60"/>
              <w:rPr>
                <w:sz w:val="18"/>
                <w:szCs w:val="18"/>
              </w:rPr>
            </w:pPr>
            <w:r w:rsidRPr="00CE585D">
              <w:rPr>
                <w:sz w:val="18"/>
                <w:szCs w:val="18"/>
              </w:rPr>
              <w:t xml:space="preserve">Incorporation of CHCs into surge plan, with training for CHCs and three event-based tests </w:t>
            </w:r>
          </w:p>
          <w:p w:rsidR="00CF127C" w:rsidRPr="00CE585D" w:rsidRDefault="00CF127C" w:rsidP="0084105C">
            <w:pPr>
              <w:spacing w:before="60"/>
              <w:rPr>
                <w:sz w:val="18"/>
                <w:szCs w:val="18"/>
              </w:rPr>
            </w:pPr>
          </w:p>
        </w:tc>
        <w:tc>
          <w:tcPr>
            <w:tcW w:w="1890" w:type="dxa"/>
          </w:tcPr>
          <w:p w:rsidR="00CF127C" w:rsidRPr="00CE585D" w:rsidRDefault="00CF127C" w:rsidP="0084105C">
            <w:pPr>
              <w:spacing w:before="60"/>
              <w:rPr>
                <w:sz w:val="18"/>
                <w:szCs w:val="18"/>
              </w:rPr>
            </w:pPr>
            <w:r w:rsidRPr="00CE585D">
              <w:rPr>
                <w:sz w:val="18"/>
                <w:szCs w:val="18"/>
              </w:rPr>
              <w:t xml:space="preserve">City PH &amp; state primary care association </w:t>
            </w:r>
            <w:r w:rsidRPr="00CE585D">
              <w:rPr>
                <w:i/>
                <w:sz w:val="18"/>
                <w:szCs w:val="18"/>
              </w:rPr>
              <w:t xml:space="preserve">engaged </w:t>
            </w:r>
            <w:r w:rsidRPr="00CE585D">
              <w:rPr>
                <w:sz w:val="18"/>
                <w:szCs w:val="18"/>
              </w:rPr>
              <w:t xml:space="preserve">hospitals, CHCs, EMS in planning; City PH, </w:t>
            </w:r>
            <w:smartTag w:uri="urn:schemas-microsoft-com:office:smarttags" w:element="place">
              <w:r w:rsidRPr="00CE585D">
                <w:rPr>
                  <w:sz w:val="18"/>
                  <w:szCs w:val="18"/>
                </w:rPr>
                <w:t>EMS</w:t>
              </w:r>
            </w:smartTag>
            <w:r w:rsidRPr="00CE585D">
              <w:rPr>
                <w:sz w:val="18"/>
                <w:szCs w:val="18"/>
              </w:rPr>
              <w:t xml:space="preserve"> &amp; academia </w:t>
            </w:r>
            <w:r w:rsidRPr="00CE585D">
              <w:rPr>
                <w:i/>
                <w:sz w:val="18"/>
                <w:szCs w:val="18"/>
              </w:rPr>
              <w:t xml:space="preserve">engaged </w:t>
            </w:r>
            <w:r w:rsidRPr="00CE585D">
              <w:rPr>
                <w:sz w:val="18"/>
                <w:szCs w:val="18"/>
              </w:rPr>
              <w:t>CHCs in training and first responders, hospitals and CHCs in tests of plan</w:t>
            </w:r>
          </w:p>
        </w:tc>
        <w:tc>
          <w:tcPr>
            <w:tcW w:w="2160" w:type="dxa"/>
          </w:tcPr>
          <w:p w:rsidR="00CF127C" w:rsidRPr="00CE585D" w:rsidRDefault="00CF127C" w:rsidP="0084105C">
            <w:pPr>
              <w:spacing w:before="60"/>
              <w:rPr>
                <w:sz w:val="18"/>
                <w:szCs w:val="18"/>
              </w:rPr>
            </w:pPr>
            <w:r w:rsidRPr="00CE585D">
              <w:rPr>
                <w:sz w:val="18"/>
                <w:szCs w:val="18"/>
              </w:rPr>
              <w:t>Surge-related roles and responsibilities for CHCs delineated in plan; plan tested in city-wide preparation for Democratic National Convention and 2 outbreak investigations (e.g., screened 1500 persons for TB in one investigation)</w:t>
            </w:r>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CHCs were willing to participate and  some were already integrated with nearby hospital; excellent academic partner provided high quality technical assistance</w:t>
            </w:r>
          </w:p>
          <w:p w:rsidR="00CF127C" w:rsidRPr="00CE585D" w:rsidRDefault="00CF127C" w:rsidP="0084105C">
            <w:pPr>
              <w:spacing w:before="120" w:after="60"/>
              <w:rPr>
                <w:sz w:val="18"/>
                <w:szCs w:val="18"/>
              </w:rPr>
            </w:pPr>
            <w:r w:rsidRPr="00CE585D">
              <w:rPr>
                <w:i/>
                <w:sz w:val="18"/>
                <w:szCs w:val="18"/>
              </w:rPr>
              <w:t>Barriers:</w:t>
            </w:r>
            <w:r w:rsidRPr="00CE585D">
              <w:rPr>
                <w:sz w:val="18"/>
                <w:szCs w:val="18"/>
              </w:rPr>
              <w:t xml:space="preserve"> Variability in CHC sizes and  resources precluded “one size fits all” approach; CHC staff had limited time &amp; resources for training, testing</w:t>
            </w:r>
          </w:p>
        </w:tc>
        <w:tc>
          <w:tcPr>
            <w:tcW w:w="806" w:type="dxa"/>
          </w:tcPr>
          <w:p w:rsidR="00CF127C" w:rsidRPr="00CE585D" w:rsidRDefault="00CF127C" w:rsidP="0084105C">
            <w:pPr>
              <w:spacing w:before="60"/>
              <w:jc w:val="center"/>
              <w:rPr>
                <w:sz w:val="18"/>
                <w:szCs w:val="18"/>
              </w:rPr>
            </w:pPr>
            <w:r w:rsidRPr="00CE585D">
              <w:rPr>
                <w:sz w:val="18"/>
                <w:szCs w:val="18"/>
              </w:rPr>
              <w:t>4</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Levin, 2009</w:t>
            </w:r>
            <w:r w:rsidRPr="0023334B">
              <w:rPr>
                <w:noProof/>
                <w:sz w:val="18"/>
                <w:szCs w:val="18"/>
                <w:vertAlign w:val="superscript"/>
              </w:rPr>
              <w:t>185</w:t>
            </w:r>
          </w:p>
        </w:tc>
        <w:tc>
          <w:tcPr>
            <w:tcW w:w="1242" w:type="dxa"/>
          </w:tcPr>
          <w:p w:rsidR="00CF127C" w:rsidRPr="00CE585D" w:rsidRDefault="00CF127C" w:rsidP="0084105C">
            <w:pPr>
              <w:spacing w:before="60"/>
              <w:ind w:left="116" w:hanging="116"/>
              <w:rPr>
                <w:sz w:val="18"/>
                <w:szCs w:val="18"/>
              </w:rPr>
            </w:pPr>
            <w:r>
              <w:rPr>
                <w:sz w:val="18"/>
                <w:szCs w:val="18"/>
              </w:rPr>
              <w:t>Policy makers</w:t>
            </w:r>
          </w:p>
        </w:tc>
        <w:tc>
          <w:tcPr>
            <w:tcW w:w="904" w:type="dxa"/>
          </w:tcPr>
          <w:p w:rsidR="00CF127C" w:rsidRPr="00CE585D" w:rsidRDefault="00CF127C" w:rsidP="0084105C">
            <w:pPr>
              <w:spacing w:before="60"/>
              <w:rPr>
                <w:sz w:val="18"/>
                <w:szCs w:val="18"/>
              </w:rPr>
            </w:pPr>
            <w:r w:rsidRPr="00CE585D">
              <w:rPr>
                <w:sz w:val="18"/>
                <w:szCs w:val="18"/>
              </w:rPr>
              <w:t>MA (state level)</w:t>
            </w:r>
          </w:p>
        </w:tc>
        <w:tc>
          <w:tcPr>
            <w:tcW w:w="1296" w:type="dxa"/>
          </w:tcPr>
          <w:p w:rsidR="00CF127C" w:rsidRPr="00CE585D" w:rsidRDefault="00CF127C" w:rsidP="0084105C">
            <w:pPr>
              <w:spacing w:before="60"/>
              <w:rPr>
                <w:sz w:val="18"/>
                <w:szCs w:val="18"/>
              </w:rPr>
            </w:pPr>
            <w:r w:rsidRPr="00CE585D">
              <w:rPr>
                <w:sz w:val="18"/>
                <w:szCs w:val="18"/>
              </w:rPr>
              <w:t>Descriptive – planning process</w:t>
            </w:r>
          </w:p>
        </w:tc>
        <w:tc>
          <w:tcPr>
            <w:tcW w:w="1296" w:type="dxa"/>
          </w:tcPr>
          <w:p w:rsidR="00CF127C" w:rsidRPr="00CE585D" w:rsidRDefault="00CF127C" w:rsidP="0084105C">
            <w:pPr>
              <w:spacing w:before="60"/>
              <w:jc w:val="center"/>
              <w:rPr>
                <w:sz w:val="18"/>
                <w:szCs w:val="18"/>
              </w:rPr>
            </w:pPr>
            <w:r w:rsidRPr="00CE585D">
              <w:rPr>
                <w:sz w:val="18"/>
                <w:szCs w:val="18"/>
              </w:rPr>
              <w:t>Pandemic influenza</w:t>
            </w:r>
          </w:p>
        </w:tc>
        <w:tc>
          <w:tcPr>
            <w:tcW w:w="2016" w:type="dxa"/>
          </w:tcPr>
          <w:p w:rsidR="00CF127C" w:rsidRPr="00CE585D" w:rsidRDefault="00CF127C" w:rsidP="0084105C">
            <w:pPr>
              <w:spacing w:before="60"/>
              <w:rPr>
                <w:sz w:val="18"/>
                <w:szCs w:val="18"/>
              </w:rPr>
            </w:pPr>
            <w:r w:rsidRPr="00CE585D">
              <w:rPr>
                <w:sz w:val="18"/>
                <w:szCs w:val="18"/>
              </w:rPr>
              <w:t>State level planning to establish framework and ethical principles to guide development of altered standards of care protocols</w:t>
            </w:r>
          </w:p>
        </w:tc>
        <w:tc>
          <w:tcPr>
            <w:tcW w:w="1890" w:type="dxa"/>
          </w:tcPr>
          <w:p w:rsidR="00CF127C" w:rsidRPr="00CE585D" w:rsidRDefault="00CF127C" w:rsidP="0084105C">
            <w:pPr>
              <w:spacing w:before="60"/>
              <w:rPr>
                <w:sz w:val="18"/>
                <w:szCs w:val="18"/>
              </w:rPr>
            </w:pPr>
            <w:r w:rsidRPr="00CE585D">
              <w:rPr>
                <w:sz w:val="18"/>
                <w:szCs w:val="18"/>
              </w:rPr>
              <w:t xml:space="preserve">State PH and academia </w:t>
            </w:r>
            <w:r w:rsidRPr="00CE585D">
              <w:rPr>
                <w:i/>
                <w:sz w:val="18"/>
                <w:szCs w:val="18"/>
              </w:rPr>
              <w:t>engaged</w:t>
            </w:r>
            <w:r w:rsidRPr="00CE585D">
              <w:rPr>
                <w:sz w:val="18"/>
                <w:szCs w:val="18"/>
              </w:rPr>
              <w:t xml:space="preserve"> local PH, hospitals, non-hospital healthcare facilities, other health agencies, non-government entity, general public</w:t>
            </w:r>
          </w:p>
        </w:tc>
        <w:tc>
          <w:tcPr>
            <w:tcW w:w="2160" w:type="dxa"/>
          </w:tcPr>
          <w:p w:rsidR="00CF127C" w:rsidRPr="00CE585D" w:rsidRDefault="00CF127C" w:rsidP="0084105C">
            <w:pPr>
              <w:spacing w:before="60" w:after="20"/>
              <w:rPr>
                <w:sz w:val="18"/>
                <w:szCs w:val="18"/>
              </w:rPr>
            </w:pPr>
            <w:r w:rsidRPr="00CE585D">
              <w:rPr>
                <w:sz w:val="18"/>
                <w:szCs w:val="18"/>
              </w:rPr>
              <w:t>Consensus state-level framework (guidelines) and decision making protocol for altered standards of care (ASC); 4 goals, 7 principles – decision-making protocol to determine ASC</w:t>
            </w:r>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Excellence of academic institution; involvement of ethicists, legal counsel, and broad stakeholder base</w:t>
            </w:r>
          </w:p>
        </w:tc>
        <w:tc>
          <w:tcPr>
            <w:tcW w:w="806" w:type="dxa"/>
          </w:tcPr>
          <w:p w:rsidR="00CF127C" w:rsidRPr="00CE585D" w:rsidRDefault="00CF127C" w:rsidP="0084105C">
            <w:pPr>
              <w:spacing w:before="60"/>
              <w:jc w:val="center"/>
              <w:rPr>
                <w:sz w:val="18"/>
                <w:szCs w:val="18"/>
              </w:rPr>
            </w:pPr>
            <w:r w:rsidRPr="00CE585D">
              <w:rPr>
                <w:sz w:val="18"/>
                <w:szCs w:val="18"/>
              </w:rPr>
              <w:t>3</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Moser, 2005</w:t>
            </w:r>
            <w:r w:rsidRPr="0023334B">
              <w:rPr>
                <w:noProof/>
                <w:sz w:val="18"/>
                <w:szCs w:val="18"/>
                <w:vertAlign w:val="superscript"/>
              </w:rPr>
              <w:t>196</w:t>
            </w:r>
          </w:p>
        </w:tc>
        <w:tc>
          <w:tcPr>
            <w:tcW w:w="1242" w:type="dxa"/>
          </w:tcPr>
          <w:p w:rsidR="00CF127C" w:rsidRPr="00CE585D" w:rsidRDefault="00CF127C" w:rsidP="0084105C">
            <w:pPr>
              <w:spacing w:before="60"/>
              <w:ind w:left="116" w:hanging="116"/>
              <w:rPr>
                <w:sz w:val="18"/>
                <w:szCs w:val="18"/>
              </w:rPr>
            </w:pPr>
            <w:r>
              <w:rPr>
                <w:sz w:val="18"/>
                <w:szCs w:val="18"/>
              </w:rPr>
              <w:t>Policy makers</w:t>
            </w:r>
          </w:p>
        </w:tc>
        <w:tc>
          <w:tcPr>
            <w:tcW w:w="904" w:type="dxa"/>
          </w:tcPr>
          <w:p w:rsidR="00CF127C" w:rsidRPr="00CE585D" w:rsidRDefault="00CF127C" w:rsidP="0084105C">
            <w:pPr>
              <w:spacing w:before="60"/>
              <w:rPr>
                <w:sz w:val="18"/>
                <w:szCs w:val="18"/>
              </w:rPr>
            </w:pPr>
            <w:smartTag w:uri="urn:schemas-microsoft-com:office:smarttags" w:element="place">
              <w:smartTag w:uri="urn:schemas-microsoft-com:office:smarttags" w:element="State">
                <w:r w:rsidRPr="00CE585D">
                  <w:rPr>
                    <w:sz w:val="18"/>
                    <w:szCs w:val="18"/>
                  </w:rPr>
                  <w:t>Utah</w:t>
                </w:r>
              </w:smartTag>
            </w:smartTag>
            <w:r w:rsidRPr="00CE585D">
              <w:rPr>
                <w:sz w:val="18"/>
                <w:szCs w:val="18"/>
              </w:rPr>
              <w:t xml:space="preserve"> (regional level)</w:t>
            </w:r>
          </w:p>
        </w:tc>
        <w:tc>
          <w:tcPr>
            <w:tcW w:w="1296" w:type="dxa"/>
          </w:tcPr>
          <w:p w:rsidR="00CF127C" w:rsidRPr="00CE585D" w:rsidRDefault="00CF127C" w:rsidP="0084105C">
            <w:pPr>
              <w:spacing w:before="60"/>
              <w:rPr>
                <w:sz w:val="18"/>
                <w:szCs w:val="18"/>
              </w:rPr>
            </w:pPr>
            <w:r w:rsidRPr="00CE585D">
              <w:rPr>
                <w:sz w:val="18"/>
                <w:szCs w:val="18"/>
              </w:rPr>
              <w:t>Descriptive – planning process</w:t>
            </w:r>
          </w:p>
        </w:tc>
        <w:tc>
          <w:tcPr>
            <w:tcW w:w="1296" w:type="dxa"/>
          </w:tcPr>
          <w:p w:rsidR="00CF127C" w:rsidRPr="00CE585D" w:rsidRDefault="00CF127C" w:rsidP="0084105C">
            <w:pPr>
              <w:spacing w:before="60"/>
              <w:jc w:val="center"/>
              <w:rPr>
                <w:sz w:val="18"/>
                <w:szCs w:val="18"/>
              </w:rPr>
            </w:pPr>
            <w:r w:rsidRPr="00CE585D">
              <w:rPr>
                <w:sz w:val="18"/>
                <w:szCs w:val="18"/>
              </w:rPr>
              <w:t>Unspecified</w:t>
            </w:r>
          </w:p>
        </w:tc>
        <w:tc>
          <w:tcPr>
            <w:tcW w:w="2016" w:type="dxa"/>
          </w:tcPr>
          <w:p w:rsidR="00CF127C" w:rsidRPr="00CE585D" w:rsidRDefault="00CF127C" w:rsidP="0084105C">
            <w:pPr>
              <w:spacing w:before="60"/>
              <w:rPr>
                <w:sz w:val="18"/>
                <w:szCs w:val="18"/>
              </w:rPr>
            </w:pPr>
            <w:r w:rsidRPr="00CE585D">
              <w:rPr>
                <w:sz w:val="18"/>
                <w:szCs w:val="18"/>
              </w:rPr>
              <w:t>Broadly inclusive regional hospital level planning process to identify 1250 additional (surge) beds state-wide; regional approach to be replicated throughout state</w:t>
            </w:r>
          </w:p>
        </w:tc>
        <w:tc>
          <w:tcPr>
            <w:tcW w:w="1890" w:type="dxa"/>
          </w:tcPr>
          <w:p w:rsidR="00CF127C" w:rsidRPr="00CE585D" w:rsidRDefault="00CF127C" w:rsidP="0084105C">
            <w:pPr>
              <w:spacing w:before="60"/>
              <w:rPr>
                <w:sz w:val="18"/>
                <w:szCs w:val="18"/>
              </w:rPr>
            </w:pPr>
            <w:r w:rsidRPr="00CE585D">
              <w:rPr>
                <w:sz w:val="18"/>
                <w:szCs w:val="18"/>
              </w:rPr>
              <w:t xml:space="preserve">State PH and state university medical center </w:t>
            </w:r>
            <w:r w:rsidRPr="00CE585D">
              <w:rPr>
                <w:i/>
                <w:sz w:val="18"/>
                <w:szCs w:val="18"/>
              </w:rPr>
              <w:t xml:space="preserve">engaged </w:t>
            </w:r>
            <w:r w:rsidRPr="00CE585D">
              <w:rPr>
                <w:sz w:val="18"/>
                <w:szCs w:val="18"/>
              </w:rPr>
              <w:t xml:space="preserve">multiple hospital and non-hospital facilities, professional associations, state and local PH, transit, </w:t>
            </w:r>
            <w:smartTag w:uri="urn:schemas-microsoft-com:office:smarttags" w:element="place">
              <w:r w:rsidRPr="00CE585D">
                <w:rPr>
                  <w:sz w:val="18"/>
                  <w:szCs w:val="18"/>
                </w:rPr>
                <w:t>EMS</w:t>
              </w:r>
            </w:smartTag>
            <w:r w:rsidRPr="00CE585D">
              <w:rPr>
                <w:sz w:val="18"/>
                <w:szCs w:val="18"/>
              </w:rPr>
              <w:t xml:space="preserve"> and church groups</w:t>
            </w:r>
          </w:p>
        </w:tc>
        <w:tc>
          <w:tcPr>
            <w:tcW w:w="2160" w:type="dxa"/>
          </w:tcPr>
          <w:p w:rsidR="00CF127C" w:rsidRPr="00CE585D" w:rsidRDefault="00CF127C" w:rsidP="0084105C">
            <w:pPr>
              <w:spacing w:before="60"/>
              <w:rPr>
                <w:sz w:val="18"/>
                <w:szCs w:val="18"/>
              </w:rPr>
            </w:pPr>
            <w:r w:rsidRPr="00CE585D">
              <w:rPr>
                <w:sz w:val="18"/>
                <w:szCs w:val="18"/>
              </w:rPr>
              <w:t>State coordinating group identified broad range of public and private sector task force members and created regional surge plan through systematic iterative process</w:t>
            </w:r>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Broadly inclusive and iterative process; begin with small group; identify key personnel early; use prominent players for credibility; central planning office</w:t>
            </w:r>
          </w:p>
        </w:tc>
        <w:tc>
          <w:tcPr>
            <w:tcW w:w="806" w:type="dxa"/>
          </w:tcPr>
          <w:p w:rsidR="00CF127C" w:rsidRPr="00CE585D" w:rsidRDefault="00CF127C" w:rsidP="0084105C">
            <w:pPr>
              <w:spacing w:before="60"/>
              <w:jc w:val="center"/>
              <w:rPr>
                <w:sz w:val="18"/>
                <w:szCs w:val="18"/>
              </w:rPr>
            </w:pPr>
            <w:r w:rsidRPr="00CE585D">
              <w:rPr>
                <w:sz w:val="18"/>
                <w:szCs w:val="18"/>
              </w:rPr>
              <w:t>3</w:t>
            </w:r>
          </w:p>
        </w:tc>
      </w:tr>
      <w:tr w:rsidR="00CF127C" w:rsidRPr="00CE585D" w:rsidTr="0084105C">
        <w:trPr>
          <w:cantSplit/>
        </w:trPr>
        <w:tc>
          <w:tcPr>
            <w:tcW w:w="936" w:type="dxa"/>
          </w:tcPr>
          <w:p w:rsidR="00CF127C" w:rsidRPr="00CE585D" w:rsidRDefault="00CF127C" w:rsidP="0084105C">
            <w:pPr>
              <w:spacing w:before="60"/>
              <w:rPr>
                <w:sz w:val="18"/>
                <w:szCs w:val="18"/>
              </w:rPr>
            </w:pPr>
            <w:r w:rsidRPr="00CE585D">
              <w:rPr>
                <w:sz w:val="18"/>
                <w:szCs w:val="18"/>
              </w:rPr>
              <w:t>Vawter, 2010</w:t>
            </w:r>
            <w:r w:rsidRPr="0023334B">
              <w:rPr>
                <w:noProof/>
                <w:sz w:val="18"/>
                <w:szCs w:val="18"/>
                <w:vertAlign w:val="superscript"/>
              </w:rPr>
              <w:t>179</w:t>
            </w:r>
          </w:p>
        </w:tc>
        <w:tc>
          <w:tcPr>
            <w:tcW w:w="1242" w:type="dxa"/>
          </w:tcPr>
          <w:p w:rsidR="00CF127C" w:rsidRPr="00CE585D" w:rsidRDefault="00CF127C" w:rsidP="0084105C">
            <w:pPr>
              <w:spacing w:before="60"/>
              <w:ind w:left="116" w:hanging="116"/>
              <w:rPr>
                <w:sz w:val="18"/>
                <w:szCs w:val="18"/>
              </w:rPr>
            </w:pPr>
            <w:r>
              <w:rPr>
                <w:sz w:val="18"/>
                <w:szCs w:val="18"/>
              </w:rPr>
              <w:t>Policy makers</w:t>
            </w:r>
          </w:p>
        </w:tc>
        <w:tc>
          <w:tcPr>
            <w:tcW w:w="904" w:type="dxa"/>
          </w:tcPr>
          <w:p w:rsidR="00CF127C" w:rsidRPr="00CE585D" w:rsidRDefault="00CF127C" w:rsidP="0084105C">
            <w:pPr>
              <w:spacing w:before="60"/>
              <w:rPr>
                <w:sz w:val="18"/>
                <w:szCs w:val="18"/>
              </w:rPr>
            </w:pPr>
            <w:r w:rsidRPr="00CE585D">
              <w:rPr>
                <w:sz w:val="18"/>
                <w:szCs w:val="18"/>
              </w:rPr>
              <w:t>MN (state level)</w:t>
            </w:r>
          </w:p>
        </w:tc>
        <w:tc>
          <w:tcPr>
            <w:tcW w:w="1296" w:type="dxa"/>
          </w:tcPr>
          <w:p w:rsidR="00CF127C" w:rsidRPr="00CE585D" w:rsidRDefault="00CF127C" w:rsidP="0084105C">
            <w:pPr>
              <w:spacing w:before="60"/>
              <w:rPr>
                <w:sz w:val="18"/>
                <w:szCs w:val="18"/>
              </w:rPr>
            </w:pPr>
            <w:r w:rsidRPr="00CE585D">
              <w:rPr>
                <w:sz w:val="18"/>
                <w:szCs w:val="18"/>
              </w:rPr>
              <w:t>Descriptive – planning process</w:t>
            </w:r>
          </w:p>
        </w:tc>
        <w:tc>
          <w:tcPr>
            <w:tcW w:w="1296" w:type="dxa"/>
          </w:tcPr>
          <w:p w:rsidR="00CF127C" w:rsidRPr="00CE585D" w:rsidRDefault="00CF127C" w:rsidP="0084105C">
            <w:pPr>
              <w:spacing w:before="60"/>
              <w:jc w:val="center"/>
              <w:rPr>
                <w:sz w:val="18"/>
                <w:szCs w:val="18"/>
              </w:rPr>
            </w:pPr>
            <w:r w:rsidRPr="00CE585D">
              <w:rPr>
                <w:sz w:val="18"/>
                <w:szCs w:val="18"/>
              </w:rPr>
              <w:t>Pandemic influenza</w:t>
            </w:r>
          </w:p>
        </w:tc>
        <w:tc>
          <w:tcPr>
            <w:tcW w:w="2016" w:type="dxa"/>
          </w:tcPr>
          <w:p w:rsidR="00CF127C" w:rsidRPr="00CE585D" w:rsidRDefault="00CF127C" w:rsidP="0084105C">
            <w:pPr>
              <w:spacing w:before="60"/>
              <w:rPr>
                <w:sz w:val="18"/>
                <w:szCs w:val="18"/>
              </w:rPr>
            </w:pPr>
            <w:r w:rsidRPr="00CE585D">
              <w:rPr>
                <w:sz w:val="18"/>
                <w:szCs w:val="18"/>
              </w:rPr>
              <w:t xml:space="preserve">Developing proposed ethical frameworks and procedures for rationing scarce health resources within a state </w:t>
            </w:r>
          </w:p>
        </w:tc>
        <w:tc>
          <w:tcPr>
            <w:tcW w:w="1890" w:type="dxa"/>
          </w:tcPr>
          <w:p w:rsidR="00CF127C" w:rsidRPr="00CE585D" w:rsidRDefault="00CF127C" w:rsidP="0084105C">
            <w:pPr>
              <w:spacing w:before="60"/>
              <w:rPr>
                <w:sz w:val="18"/>
                <w:szCs w:val="18"/>
              </w:rPr>
            </w:pPr>
            <w:r w:rsidRPr="00CE585D">
              <w:rPr>
                <w:sz w:val="18"/>
                <w:szCs w:val="18"/>
              </w:rPr>
              <w:t xml:space="preserve">State government, university and health care ethics center </w:t>
            </w:r>
            <w:r w:rsidRPr="00CE585D">
              <w:rPr>
                <w:i/>
                <w:sz w:val="18"/>
                <w:szCs w:val="18"/>
              </w:rPr>
              <w:t xml:space="preserve">engaged </w:t>
            </w:r>
            <w:r w:rsidRPr="00CE585D">
              <w:rPr>
                <w:sz w:val="18"/>
                <w:szCs w:val="18"/>
              </w:rPr>
              <w:t>local governments, experts, general public and a few (not many ) health care providers (hospital, non-hospital, other)</w:t>
            </w:r>
          </w:p>
        </w:tc>
        <w:tc>
          <w:tcPr>
            <w:tcW w:w="2160" w:type="dxa"/>
          </w:tcPr>
          <w:p w:rsidR="00CF127C" w:rsidRPr="00CE585D" w:rsidRDefault="00CF127C" w:rsidP="0084105C">
            <w:pPr>
              <w:spacing w:before="60"/>
              <w:rPr>
                <w:sz w:val="18"/>
                <w:szCs w:val="18"/>
              </w:rPr>
            </w:pPr>
            <w:r w:rsidRPr="00CE585D">
              <w:rPr>
                <w:sz w:val="18"/>
                <w:szCs w:val="18"/>
              </w:rPr>
              <w:t>Decision tools – ethics guidance: Multiple ethical frameworks for setting rationing priorities (for vaccine, N95 respirators, surgical masks, antiviral drugs for prophylaxis and for treatment, mechanical ventilators) -- principles, objectives, general strategies</w:t>
            </w:r>
          </w:p>
        </w:tc>
        <w:tc>
          <w:tcPr>
            <w:tcW w:w="2448" w:type="dxa"/>
          </w:tcPr>
          <w:p w:rsidR="00CF127C" w:rsidRPr="00CE585D" w:rsidRDefault="00CF127C" w:rsidP="0084105C">
            <w:pPr>
              <w:spacing w:before="60"/>
              <w:rPr>
                <w:sz w:val="18"/>
                <w:szCs w:val="18"/>
              </w:rPr>
            </w:pPr>
            <w:r w:rsidRPr="00CE585D">
              <w:rPr>
                <w:i/>
                <w:sz w:val="18"/>
                <w:szCs w:val="18"/>
              </w:rPr>
              <w:t>Facilitators:</w:t>
            </w:r>
            <w:r w:rsidRPr="00CE585D">
              <w:rPr>
                <w:sz w:val="18"/>
                <w:szCs w:val="18"/>
              </w:rPr>
              <w:t xml:space="preserve"> involvement of ethicists, extensive public input, specific resource items</w:t>
            </w:r>
          </w:p>
          <w:p w:rsidR="00CF127C" w:rsidRPr="00CE585D" w:rsidRDefault="00CF127C" w:rsidP="0084105C">
            <w:pPr>
              <w:spacing w:before="120"/>
              <w:rPr>
                <w:sz w:val="18"/>
                <w:szCs w:val="18"/>
              </w:rPr>
            </w:pPr>
            <w:r w:rsidRPr="00CE585D">
              <w:rPr>
                <w:i/>
                <w:sz w:val="18"/>
                <w:szCs w:val="18"/>
              </w:rPr>
              <w:t>Barriers:</w:t>
            </w:r>
            <w:r w:rsidRPr="00CE585D">
              <w:rPr>
                <w:sz w:val="18"/>
                <w:szCs w:val="18"/>
              </w:rPr>
              <w:t xml:space="preserve"> resulted in decision tool (not plan); one size does not fit all; very few providers were reported as involved</w:t>
            </w:r>
          </w:p>
        </w:tc>
        <w:tc>
          <w:tcPr>
            <w:tcW w:w="806" w:type="dxa"/>
          </w:tcPr>
          <w:p w:rsidR="00CF127C" w:rsidRPr="00CE585D" w:rsidRDefault="00CF127C" w:rsidP="0084105C">
            <w:pPr>
              <w:spacing w:before="60"/>
              <w:jc w:val="center"/>
              <w:rPr>
                <w:sz w:val="18"/>
                <w:szCs w:val="18"/>
              </w:rPr>
            </w:pPr>
            <w:r w:rsidRPr="00CE585D">
              <w:rPr>
                <w:sz w:val="18"/>
                <w:szCs w:val="18"/>
              </w:rPr>
              <w:t>3</w:t>
            </w:r>
          </w:p>
        </w:tc>
      </w:tr>
    </w:tbl>
    <w:p w:rsidR="00CF127C" w:rsidRPr="004F06BC" w:rsidRDefault="00CF127C" w:rsidP="00CF127C">
      <w:pPr>
        <w:pStyle w:val="BodyTextFirstIndent"/>
        <w:ind w:firstLine="0"/>
        <w:rPr>
          <w:sz w:val="20"/>
        </w:rPr>
      </w:pPr>
    </w:p>
    <w:p w:rsidR="00CF127C" w:rsidRDefault="00CF127C" w:rsidP="00CF127C"/>
    <w:sectPr w:rsidR="00CF127C" w:rsidSect="00375879">
      <w:headerReference w:type="default" r:id="rId8"/>
      <w:footerReference w:type="default" r:id="rId9"/>
      <w:pgSz w:w="15840" w:h="12240" w:orient="landscape" w:code="1"/>
      <w:pgMar w:top="360" w:right="360" w:bottom="360" w:left="360" w:header="720" w:footer="720" w:gutter="0"/>
      <w:pgNumType w:start="5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967" w:rsidRDefault="00F51967">
      <w:r>
        <w:separator/>
      </w:r>
    </w:p>
    <w:p w:rsidR="00F51967" w:rsidRDefault="00F51967"/>
    <w:p w:rsidR="00F51967" w:rsidRDefault="00F51967"/>
    <w:p w:rsidR="00F51967" w:rsidRDefault="00F51967"/>
    <w:p w:rsidR="00F51967" w:rsidRDefault="00F51967"/>
  </w:endnote>
  <w:endnote w:type="continuationSeparator" w:id="0">
    <w:p w:rsidR="00F51967" w:rsidRDefault="00F51967">
      <w:r>
        <w:continuationSeparator/>
      </w:r>
    </w:p>
    <w:p w:rsidR="00F51967" w:rsidRDefault="00F51967"/>
    <w:p w:rsidR="00F51967" w:rsidRDefault="00F51967"/>
    <w:p w:rsidR="00F51967" w:rsidRDefault="00F51967"/>
    <w:p w:rsidR="00F51967" w:rsidRDefault="00F5196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79" w:rsidRPr="00B243AB" w:rsidRDefault="00375879">
    <w:pPr>
      <w:adjustRightInd w:val="0"/>
      <w:jc w:val="center"/>
      <w:rPr>
        <w:rFonts w:ascii="Times New Roman" w:hAnsi="Times New Roman"/>
        <w:sz w:val="32"/>
        <w:szCs w:val="24"/>
      </w:rPr>
    </w:pPr>
    <w:r w:rsidRPr="00EB0A35">
      <w:rPr>
        <w:rStyle w:val="PageNumber0"/>
        <w:rFonts w:ascii="Times New Roman" w:hAnsi="Times New Roman"/>
      </w:rPr>
      <w:t>C-</w:t>
    </w:r>
    <w:r w:rsidRPr="00EB0A35">
      <w:rPr>
        <w:rStyle w:val="PageNumber0"/>
        <w:rFonts w:ascii="Times New Roman" w:hAnsi="Times New Roman"/>
      </w:rPr>
      <w:fldChar w:fldCharType="begin"/>
    </w:r>
    <w:r w:rsidRPr="00EB0A35">
      <w:rPr>
        <w:rStyle w:val="PageNumber0"/>
        <w:rFonts w:ascii="Times New Roman" w:hAnsi="Times New Roman"/>
      </w:rPr>
      <w:instrText xml:space="preserve"> PAGE </w:instrText>
    </w:r>
    <w:r w:rsidRPr="00EB0A35">
      <w:rPr>
        <w:rStyle w:val="PageNumber0"/>
        <w:rFonts w:ascii="Times New Roman" w:hAnsi="Times New Roman"/>
      </w:rPr>
      <w:fldChar w:fldCharType="separate"/>
    </w:r>
    <w:r>
      <w:rPr>
        <w:rStyle w:val="PageNumber0"/>
        <w:rFonts w:ascii="Times New Roman" w:hAnsi="Times New Roman"/>
        <w:noProof/>
      </w:rPr>
      <w:t>50</w:t>
    </w:r>
    <w:r w:rsidRPr="00EB0A35">
      <w:rPr>
        <w:rStyle w:val="PageNumber0"/>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967" w:rsidRDefault="00F51967">
      <w:r>
        <w:separator/>
      </w:r>
    </w:p>
  </w:footnote>
  <w:footnote w:type="continuationSeparator" w:id="0">
    <w:p w:rsidR="00F51967" w:rsidRDefault="00F51967">
      <w:r>
        <w:continuationSeparator/>
      </w:r>
    </w:p>
    <w:p w:rsidR="00F51967" w:rsidRDefault="00F51967"/>
    <w:p w:rsidR="00F51967" w:rsidRDefault="00F51967"/>
    <w:p w:rsidR="00F51967" w:rsidRDefault="00F51967"/>
    <w:p w:rsidR="00F51967" w:rsidRDefault="00F5196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F0A" w:rsidRPr="00CE585D" w:rsidRDefault="00027F0A" w:rsidP="0084105C">
    <w:r w:rsidRPr="00CE585D">
      <w:t xml:space="preserve">Appendix Table C-8. Strategies to engage providers in </w:t>
    </w:r>
    <w:r>
      <w:t xml:space="preserve">allocating </w:t>
    </w:r>
    <w:r w:rsidRPr="00CE585D">
      <w:t>scarce resource</w:t>
    </w:r>
    <w:r>
      <w:t>s during mass casualty events</w:t>
    </w:r>
    <w:r w:rsidRPr="00CE585D">
      <w:t xml:space="preserve"> (KQ4)</w:t>
    </w:r>
  </w:p>
  <w:p w:rsidR="00027F0A" w:rsidRPr="00192C02" w:rsidRDefault="00027F0A" w:rsidP="008410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9CC"/>
    <w:multiLevelType w:val="hybridMultilevel"/>
    <w:tmpl w:val="ABC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06371"/>
    <w:multiLevelType w:val="hybridMultilevel"/>
    <w:tmpl w:val="5B50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51734"/>
    <w:multiLevelType w:val="hybridMultilevel"/>
    <w:tmpl w:val="C09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A7BEA"/>
    <w:multiLevelType w:val="hybridMultilevel"/>
    <w:tmpl w:val="662C3D1C"/>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365"/>
    <w:multiLevelType w:val="hybridMultilevel"/>
    <w:tmpl w:val="C78E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F56D99"/>
    <w:multiLevelType w:val="hybridMultilevel"/>
    <w:tmpl w:val="C01EBE5E"/>
    <w:lvl w:ilvl="0" w:tplc="BC50DFB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A3C6D"/>
    <w:multiLevelType w:val="hybridMultilevel"/>
    <w:tmpl w:val="D464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E81A2F"/>
    <w:multiLevelType w:val="hybridMultilevel"/>
    <w:tmpl w:val="45485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689"/>
    <w:multiLevelType w:val="hybridMultilevel"/>
    <w:tmpl w:val="D50CC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96E3705"/>
    <w:multiLevelType w:val="hybridMultilevel"/>
    <w:tmpl w:val="480C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2892E44C">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3635BE"/>
    <w:multiLevelType w:val="hybridMultilevel"/>
    <w:tmpl w:val="D1E6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7408E3"/>
    <w:multiLevelType w:val="hybridMultilevel"/>
    <w:tmpl w:val="28ACA0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AE86744"/>
    <w:multiLevelType w:val="hybridMultilevel"/>
    <w:tmpl w:val="C42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8B59C9"/>
    <w:multiLevelType w:val="hybridMultilevel"/>
    <w:tmpl w:val="04F20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9E3A47"/>
    <w:multiLevelType w:val="hybridMultilevel"/>
    <w:tmpl w:val="CD94573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1BC21153"/>
    <w:multiLevelType w:val="hybridMultilevel"/>
    <w:tmpl w:val="B456F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741FA"/>
    <w:multiLevelType w:val="hybridMultilevel"/>
    <w:tmpl w:val="9F668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B11C79"/>
    <w:multiLevelType w:val="hybridMultilevel"/>
    <w:tmpl w:val="27322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4111BE"/>
    <w:multiLevelType w:val="hybridMultilevel"/>
    <w:tmpl w:val="9E24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4E56EF"/>
    <w:multiLevelType w:val="hybridMultilevel"/>
    <w:tmpl w:val="6068D5E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2B7B4C33"/>
    <w:multiLevelType w:val="hybridMultilevel"/>
    <w:tmpl w:val="EA1A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51005"/>
    <w:multiLevelType w:val="hybridMultilevel"/>
    <w:tmpl w:val="8518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54159F"/>
    <w:multiLevelType w:val="hybridMultilevel"/>
    <w:tmpl w:val="383E2B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306C5809"/>
    <w:multiLevelType w:val="hybridMultilevel"/>
    <w:tmpl w:val="798C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A23CAA"/>
    <w:multiLevelType w:val="hybridMultilevel"/>
    <w:tmpl w:val="F5A0BEA2"/>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6">
    <w:nsid w:val="33156659"/>
    <w:multiLevelType w:val="hybridMultilevel"/>
    <w:tmpl w:val="6AACC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661E39"/>
    <w:multiLevelType w:val="hybridMultilevel"/>
    <w:tmpl w:val="3EB6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56D27"/>
    <w:multiLevelType w:val="hybridMultilevel"/>
    <w:tmpl w:val="A678B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D338D3"/>
    <w:multiLevelType w:val="hybridMultilevel"/>
    <w:tmpl w:val="6C8CA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F24A8C"/>
    <w:multiLevelType w:val="hybridMultilevel"/>
    <w:tmpl w:val="527606B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65570B3"/>
    <w:multiLevelType w:val="hybridMultilevel"/>
    <w:tmpl w:val="BA6EC5A8"/>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FE43C3"/>
    <w:multiLevelType w:val="hybridMultilevel"/>
    <w:tmpl w:val="41B65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855D5"/>
    <w:multiLevelType w:val="hybridMultilevel"/>
    <w:tmpl w:val="2DD2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D410CCF"/>
    <w:multiLevelType w:val="hybridMultilevel"/>
    <w:tmpl w:val="16C8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E863B57"/>
    <w:multiLevelType w:val="hybridMultilevel"/>
    <w:tmpl w:val="6260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07586"/>
    <w:multiLevelType w:val="hybridMultilevel"/>
    <w:tmpl w:val="DB7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EB6596B"/>
    <w:multiLevelType w:val="hybridMultilevel"/>
    <w:tmpl w:val="4E66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0B212F2"/>
    <w:multiLevelType w:val="hybridMultilevel"/>
    <w:tmpl w:val="F5D8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12C52BF"/>
    <w:multiLevelType w:val="hybridMultilevel"/>
    <w:tmpl w:val="6F9C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5025A4"/>
    <w:multiLevelType w:val="hybridMultilevel"/>
    <w:tmpl w:val="579C5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16F6083"/>
    <w:multiLevelType w:val="hybridMultilevel"/>
    <w:tmpl w:val="528EACFC"/>
    <w:lvl w:ilvl="0" w:tplc="6B58992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6F3C61"/>
    <w:multiLevelType w:val="hybridMultilevel"/>
    <w:tmpl w:val="2D5210F8"/>
    <w:lvl w:ilvl="0" w:tplc="9A229340">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532612C8"/>
    <w:multiLevelType w:val="hybridMultilevel"/>
    <w:tmpl w:val="F8604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5100430"/>
    <w:multiLevelType w:val="hybridMultilevel"/>
    <w:tmpl w:val="B72A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BB73E8E"/>
    <w:multiLevelType w:val="hybridMultilevel"/>
    <w:tmpl w:val="187816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7637D76"/>
    <w:multiLevelType w:val="hybridMultilevel"/>
    <w:tmpl w:val="553C36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69C31A4B"/>
    <w:multiLevelType w:val="hybridMultilevel"/>
    <w:tmpl w:val="C2AA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B3A6E0E"/>
    <w:multiLevelType w:val="hybridMultilevel"/>
    <w:tmpl w:val="9C1A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BD0558B"/>
    <w:multiLevelType w:val="hybridMultilevel"/>
    <w:tmpl w:val="FD30C00C"/>
    <w:lvl w:ilvl="0" w:tplc="303E33FC">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0">
    <w:nsid w:val="6BE615A2"/>
    <w:multiLevelType w:val="hybridMultilevel"/>
    <w:tmpl w:val="4D5C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247FE2"/>
    <w:multiLevelType w:val="hybridMultilevel"/>
    <w:tmpl w:val="CF4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2F61833"/>
    <w:multiLevelType w:val="hybridMultilevel"/>
    <w:tmpl w:val="187A4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70D088A"/>
    <w:multiLevelType w:val="hybridMultilevel"/>
    <w:tmpl w:val="71821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612092"/>
    <w:multiLevelType w:val="hybridMultilevel"/>
    <w:tmpl w:val="8580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073E3B"/>
    <w:multiLevelType w:val="hybridMultilevel"/>
    <w:tmpl w:val="269A3A2A"/>
    <w:lvl w:ilvl="0" w:tplc="9A229340">
      <w:start w:val="1"/>
      <w:numFmt w:val="bullet"/>
      <w:lvlText w:val=""/>
      <w:lvlJc w:val="left"/>
      <w:pPr>
        <w:ind w:left="1080" w:hanging="360"/>
      </w:pPr>
      <w:rPr>
        <w:rFonts w:ascii="Symbol" w:hAnsi="Symbol" w:hint="default"/>
      </w:rPr>
    </w:lvl>
    <w:lvl w:ilvl="1" w:tplc="A9ACB33C">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A6D7446"/>
    <w:multiLevelType w:val="hybridMultilevel"/>
    <w:tmpl w:val="AEAA4F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nsid w:val="7B401601"/>
    <w:multiLevelType w:val="hybridMultilevel"/>
    <w:tmpl w:val="D58AC474"/>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7D254A6A"/>
    <w:multiLevelType w:val="hybridMultilevel"/>
    <w:tmpl w:val="28024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7F053274"/>
    <w:multiLevelType w:val="hybridMultilevel"/>
    <w:tmpl w:val="BC7C63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nsid w:val="7FA10D62"/>
    <w:multiLevelType w:val="hybridMultilevel"/>
    <w:tmpl w:val="25C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9"/>
  </w:num>
  <w:num w:numId="3">
    <w:abstractNumId w:val="55"/>
  </w:num>
  <w:num w:numId="4">
    <w:abstractNumId w:val="31"/>
  </w:num>
  <w:num w:numId="5">
    <w:abstractNumId w:val="57"/>
  </w:num>
  <w:num w:numId="6">
    <w:abstractNumId w:val="30"/>
  </w:num>
  <w:num w:numId="7">
    <w:abstractNumId w:val="8"/>
  </w:num>
  <w:num w:numId="8">
    <w:abstractNumId w:val="13"/>
  </w:num>
  <w:num w:numId="9">
    <w:abstractNumId w:val="58"/>
  </w:num>
  <w:num w:numId="10">
    <w:abstractNumId w:val="59"/>
  </w:num>
  <w:num w:numId="11">
    <w:abstractNumId w:val="45"/>
  </w:num>
  <w:num w:numId="12">
    <w:abstractNumId w:val="14"/>
  </w:num>
  <w:num w:numId="13">
    <w:abstractNumId w:val="11"/>
  </w:num>
  <w:num w:numId="14">
    <w:abstractNumId w:val="20"/>
  </w:num>
  <w:num w:numId="15">
    <w:abstractNumId w:val="53"/>
  </w:num>
  <w:num w:numId="16">
    <w:abstractNumId w:val="44"/>
  </w:num>
  <w:num w:numId="17">
    <w:abstractNumId w:val="46"/>
  </w:num>
  <w:num w:numId="18">
    <w:abstractNumId w:val="56"/>
  </w:num>
  <w:num w:numId="19">
    <w:abstractNumId w:val="42"/>
  </w:num>
  <w:num w:numId="20">
    <w:abstractNumId w:val="41"/>
  </w:num>
  <w:num w:numId="21">
    <w:abstractNumId w:val="41"/>
  </w:num>
  <w:num w:numId="22">
    <w:abstractNumId w:val="17"/>
  </w:num>
  <w:num w:numId="23">
    <w:abstractNumId w:val="18"/>
  </w:num>
  <w:num w:numId="24">
    <w:abstractNumId w:val="19"/>
  </w:num>
  <w:num w:numId="25">
    <w:abstractNumId w:val="24"/>
  </w:num>
  <w:num w:numId="26">
    <w:abstractNumId w:val="12"/>
  </w:num>
  <w:num w:numId="27">
    <w:abstractNumId w:val="16"/>
  </w:num>
  <w:num w:numId="28">
    <w:abstractNumId w:val="6"/>
  </w:num>
  <w:num w:numId="29">
    <w:abstractNumId w:val="10"/>
  </w:num>
  <w:num w:numId="30">
    <w:abstractNumId w:val="26"/>
  </w:num>
  <w:num w:numId="31">
    <w:abstractNumId w:val="43"/>
  </w:num>
  <w:num w:numId="32">
    <w:abstractNumId w:val="35"/>
  </w:num>
  <w:num w:numId="33">
    <w:abstractNumId w:val="28"/>
  </w:num>
  <w:num w:numId="34">
    <w:abstractNumId w:val="25"/>
  </w:num>
  <w:num w:numId="35">
    <w:abstractNumId w:val="50"/>
  </w:num>
  <w:num w:numId="36">
    <w:abstractNumId w:val="21"/>
  </w:num>
  <w:num w:numId="37">
    <w:abstractNumId w:val="33"/>
  </w:num>
  <w:num w:numId="38">
    <w:abstractNumId w:val="2"/>
  </w:num>
  <w:num w:numId="39">
    <w:abstractNumId w:val="34"/>
  </w:num>
  <w:num w:numId="40">
    <w:abstractNumId w:val="32"/>
  </w:num>
  <w:num w:numId="41">
    <w:abstractNumId w:val="41"/>
  </w:num>
  <w:num w:numId="42">
    <w:abstractNumId w:val="41"/>
  </w:num>
  <w:num w:numId="43">
    <w:abstractNumId w:val="41"/>
  </w:num>
  <w:num w:numId="44">
    <w:abstractNumId w:val="52"/>
  </w:num>
  <w:num w:numId="45">
    <w:abstractNumId w:val="3"/>
  </w:num>
  <w:num w:numId="46">
    <w:abstractNumId w:val="5"/>
  </w:num>
  <w:num w:numId="47">
    <w:abstractNumId w:val="23"/>
  </w:num>
  <w:num w:numId="48">
    <w:abstractNumId w:val="54"/>
  </w:num>
  <w:num w:numId="49">
    <w:abstractNumId w:val="15"/>
  </w:num>
  <w:num w:numId="50">
    <w:abstractNumId w:val="60"/>
  </w:num>
  <w:num w:numId="51">
    <w:abstractNumId w:val="51"/>
  </w:num>
  <w:num w:numId="52">
    <w:abstractNumId w:val="0"/>
  </w:num>
  <w:num w:numId="53">
    <w:abstractNumId w:val="4"/>
  </w:num>
  <w:num w:numId="54">
    <w:abstractNumId w:val="7"/>
  </w:num>
  <w:num w:numId="55">
    <w:abstractNumId w:val="38"/>
  </w:num>
  <w:num w:numId="56">
    <w:abstractNumId w:val="1"/>
  </w:num>
  <w:num w:numId="57">
    <w:abstractNumId w:val="22"/>
  </w:num>
  <w:num w:numId="58">
    <w:abstractNumId w:val="29"/>
  </w:num>
  <w:num w:numId="59">
    <w:abstractNumId w:val="48"/>
  </w:num>
  <w:num w:numId="60">
    <w:abstractNumId w:val="40"/>
  </w:num>
  <w:num w:numId="61">
    <w:abstractNumId w:val="27"/>
  </w:num>
  <w:num w:numId="62">
    <w:abstractNumId w:val="39"/>
  </w:num>
  <w:num w:numId="63">
    <w:abstractNumId w:val="36"/>
  </w:num>
  <w:num w:numId="64">
    <w:abstractNumId w:val="37"/>
  </w:num>
  <w:num w:numId="65">
    <w:abstractNumId w:val="47"/>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hideGrammaticalErrors/>
  <w:attachedTemplate r:id="rId1"/>
  <w:stylePaneFormatFilter w:val="BF01"/>
  <w:stylePaneSortMethod w:val="0000"/>
  <w:defaultTabStop w:val="720"/>
  <w:drawingGridHorizontalSpacing w:val="120"/>
  <w:displayHorizontalDrawingGridEvery w:val="0"/>
  <w:displayVerticalDrawingGridEvery w:val="0"/>
  <w:noPunctuationKerning/>
  <w:characterSpacingControl w:val="doNotCompress"/>
  <w:hdrShapeDefaults>
    <o:shapedefaults v:ext="edit" spidmax="32770"/>
  </w:hdrShapeDefaults>
  <w:footnotePr>
    <w:footnote w:id="-1"/>
    <w:footnote w:id="0"/>
  </w:footnotePr>
  <w:endnotePr>
    <w:endnote w:id="-1"/>
    <w:endnote w:id="0"/>
  </w:endnotePr>
  <w:compat/>
  <w:docVars>
    <w:docVar w:name="EN.InstantFormat" w:val="&lt;ENInstantFormat&gt;&lt;Enabled&gt;0&lt;/Enabled&gt;&lt;ScanUnformatted&gt;1&lt;/ScanUnformatted&gt;&lt;ScanChanges&gt;1&lt;/ScanChanges&gt;&lt;/ENInstantFormat&gt;"/>
    <w:docVar w:name="EN.Layout" w:val="&lt;ENLayout&gt;&lt;Style&gt;AHRQ_EPC_(modified_Vancouver)&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assCasualty2_1_2011_MASTER.enl&lt;/item&gt;&lt;/Libraries&gt;&lt;/ENLibraries&gt;"/>
  </w:docVars>
  <w:rsids>
    <w:rsidRoot w:val="00E31056"/>
    <w:rsid w:val="00002B09"/>
    <w:rsid w:val="00002B33"/>
    <w:rsid w:val="00002BF0"/>
    <w:rsid w:val="00004132"/>
    <w:rsid w:val="00006CC5"/>
    <w:rsid w:val="00010B84"/>
    <w:rsid w:val="0001201A"/>
    <w:rsid w:val="000144AD"/>
    <w:rsid w:val="00015043"/>
    <w:rsid w:val="000163F5"/>
    <w:rsid w:val="00020207"/>
    <w:rsid w:val="000203DA"/>
    <w:rsid w:val="00020EC0"/>
    <w:rsid w:val="0002287E"/>
    <w:rsid w:val="00023AC0"/>
    <w:rsid w:val="000279FA"/>
    <w:rsid w:val="00027F0A"/>
    <w:rsid w:val="000326B2"/>
    <w:rsid w:val="00033056"/>
    <w:rsid w:val="00037068"/>
    <w:rsid w:val="0003737E"/>
    <w:rsid w:val="00043769"/>
    <w:rsid w:val="000450AE"/>
    <w:rsid w:val="000465A9"/>
    <w:rsid w:val="0004680B"/>
    <w:rsid w:val="00046897"/>
    <w:rsid w:val="000475F4"/>
    <w:rsid w:val="0005053D"/>
    <w:rsid w:val="00052475"/>
    <w:rsid w:val="00052810"/>
    <w:rsid w:val="00052B54"/>
    <w:rsid w:val="00054B87"/>
    <w:rsid w:val="00057114"/>
    <w:rsid w:val="00057637"/>
    <w:rsid w:val="0006227C"/>
    <w:rsid w:val="000623A6"/>
    <w:rsid w:val="00062AB2"/>
    <w:rsid w:val="00062C0A"/>
    <w:rsid w:val="000637B8"/>
    <w:rsid w:val="00063C52"/>
    <w:rsid w:val="00063C69"/>
    <w:rsid w:val="000643AC"/>
    <w:rsid w:val="00064744"/>
    <w:rsid w:val="00064835"/>
    <w:rsid w:val="00066BEC"/>
    <w:rsid w:val="000725A2"/>
    <w:rsid w:val="00073754"/>
    <w:rsid w:val="00075727"/>
    <w:rsid w:val="000758F9"/>
    <w:rsid w:val="000759AE"/>
    <w:rsid w:val="0007621D"/>
    <w:rsid w:val="00076E99"/>
    <w:rsid w:val="00080062"/>
    <w:rsid w:val="00080158"/>
    <w:rsid w:val="00080227"/>
    <w:rsid w:val="0008093A"/>
    <w:rsid w:val="00080B2D"/>
    <w:rsid w:val="00081025"/>
    <w:rsid w:val="000827F9"/>
    <w:rsid w:val="000835C9"/>
    <w:rsid w:val="000841C0"/>
    <w:rsid w:val="00086B5A"/>
    <w:rsid w:val="0009005C"/>
    <w:rsid w:val="000901B6"/>
    <w:rsid w:val="00091BA0"/>
    <w:rsid w:val="00092F73"/>
    <w:rsid w:val="00093E65"/>
    <w:rsid w:val="00094337"/>
    <w:rsid w:val="00094339"/>
    <w:rsid w:val="00094A40"/>
    <w:rsid w:val="00094DA6"/>
    <w:rsid w:val="00094E41"/>
    <w:rsid w:val="00095957"/>
    <w:rsid w:val="00096929"/>
    <w:rsid w:val="000971CE"/>
    <w:rsid w:val="000A0C92"/>
    <w:rsid w:val="000A1336"/>
    <w:rsid w:val="000A1ACE"/>
    <w:rsid w:val="000A30C4"/>
    <w:rsid w:val="000A42B9"/>
    <w:rsid w:val="000A576C"/>
    <w:rsid w:val="000B0ECB"/>
    <w:rsid w:val="000B1528"/>
    <w:rsid w:val="000B15DA"/>
    <w:rsid w:val="000B18DD"/>
    <w:rsid w:val="000B1AC3"/>
    <w:rsid w:val="000B35AF"/>
    <w:rsid w:val="000B35B8"/>
    <w:rsid w:val="000B3C16"/>
    <w:rsid w:val="000B3E87"/>
    <w:rsid w:val="000B42F8"/>
    <w:rsid w:val="000B4A9A"/>
    <w:rsid w:val="000B7D57"/>
    <w:rsid w:val="000C04D4"/>
    <w:rsid w:val="000C4D2E"/>
    <w:rsid w:val="000C7706"/>
    <w:rsid w:val="000D059E"/>
    <w:rsid w:val="000D205C"/>
    <w:rsid w:val="000D211E"/>
    <w:rsid w:val="000D2449"/>
    <w:rsid w:val="000D4592"/>
    <w:rsid w:val="000D5660"/>
    <w:rsid w:val="000D7353"/>
    <w:rsid w:val="000E0630"/>
    <w:rsid w:val="000E2981"/>
    <w:rsid w:val="000E2A05"/>
    <w:rsid w:val="000E5739"/>
    <w:rsid w:val="000E59C3"/>
    <w:rsid w:val="000E5DD4"/>
    <w:rsid w:val="000E7C72"/>
    <w:rsid w:val="000F3B47"/>
    <w:rsid w:val="000F446A"/>
    <w:rsid w:val="000F77DB"/>
    <w:rsid w:val="00100C53"/>
    <w:rsid w:val="00101692"/>
    <w:rsid w:val="001016AB"/>
    <w:rsid w:val="00102D07"/>
    <w:rsid w:val="00105553"/>
    <w:rsid w:val="0011160D"/>
    <w:rsid w:val="00112E99"/>
    <w:rsid w:val="0011398E"/>
    <w:rsid w:val="00113A44"/>
    <w:rsid w:val="00114DAC"/>
    <w:rsid w:val="001157FA"/>
    <w:rsid w:val="001167AA"/>
    <w:rsid w:val="00116924"/>
    <w:rsid w:val="001172C9"/>
    <w:rsid w:val="00117B93"/>
    <w:rsid w:val="00120F92"/>
    <w:rsid w:val="00122FDB"/>
    <w:rsid w:val="00123C49"/>
    <w:rsid w:val="001247FE"/>
    <w:rsid w:val="001263D5"/>
    <w:rsid w:val="00126ECA"/>
    <w:rsid w:val="001279F3"/>
    <w:rsid w:val="00127E86"/>
    <w:rsid w:val="00132823"/>
    <w:rsid w:val="00132A7C"/>
    <w:rsid w:val="00132B3C"/>
    <w:rsid w:val="00133353"/>
    <w:rsid w:val="0013388C"/>
    <w:rsid w:val="00134FF5"/>
    <w:rsid w:val="00135683"/>
    <w:rsid w:val="001359C2"/>
    <w:rsid w:val="00137875"/>
    <w:rsid w:val="00137D45"/>
    <w:rsid w:val="00140055"/>
    <w:rsid w:val="001402FA"/>
    <w:rsid w:val="00140BF5"/>
    <w:rsid w:val="0014473B"/>
    <w:rsid w:val="00145235"/>
    <w:rsid w:val="001458CA"/>
    <w:rsid w:val="001459BF"/>
    <w:rsid w:val="0014687E"/>
    <w:rsid w:val="0015042A"/>
    <w:rsid w:val="00150F63"/>
    <w:rsid w:val="00152F7C"/>
    <w:rsid w:val="00153F83"/>
    <w:rsid w:val="001546B5"/>
    <w:rsid w:val="0015486B"/>
    <w:rsid w:val="00154ECC"/>
    <w:rsid w:val="00155848"/>
    <w:rsid w:val="00156372"/>
    <w:rsid w:val="00156C39"/>
    <w:rsid w:val="001579AF"/>
    <w:rsid w:val="00160D68"/>
    <w:rsid w:val="00160DDA"/>
    <w:rsid w:val="00161054"/>
    <w:rsid w:val="00161752"/>
    <w:rsid w:val="001618A6"/>
    <w:rsid w:val="001627B6"/>
    <w:rsid w:val="001633BC"/>
    <w:rsid w:val="00163684"/>
    <w:rsid w:val="001644F5"/>
    <w:rsid w:val="00165E7F"/>
    <w:rsid w:val="0016748A"/>
    <w:rsid w:val="00170AA5"/>
    <w:rsid w:val="00170BD1"/>
    <w:rsid w:val="00171A8B"/>
    <w:rsid w:val="00171D80"/>
    <w:rsid w:val="00172DD6"/>
    <w:rsid w:val="00174334"/>
    <w:rsid w:val="00174720"/>
    <w:rsid w:val="00174CE8"/>
    <w:rsid w:val="001768D2"/>
    <w:rsid w:val="0017699E"/>
    <w:rsid w:val="00176AE5"/>
    <w:rsid w:val="00177B06"/>
    <w:rsid w:val="001810D5"/>
    <w:rsid w:val="00181313"/>
    <w:rsid w:val="00181930"/>
    <w:rsid w:val="001850D2"/>
    <w:rsid w:val="0018527C"/>
    <w:rsid w:val="001854B1"/>
    <w:rsid w:val="00185C8E"/>
    <w:rsid w:val="0018624F"/>
    <w:rsid w:val="0018662B"/>
    <w:rsid w:val="00187E1B"/>
    <w:rsid w:val="00190D34"/>
    <w:rsid w:val="00192064"/>
    <w:rsid w:val="001934DB"/>
    <w:rsid w:val="00195331"/>
    <w:rsid w:val="0019721E"/>
    <w:rsid w:val="001A0030"/>
    <w:rsid w:val="001A11F2"/>
    <w:rsid w:val="001A1F98"/>
    <w:rsid w:val="001A2737"/>
    <w:rsid w:val="001A4BF5"/>
    <w:rsid w:val="001A4E45"/>
    <w:rsid w:val="001A51F1"/>
    <w:rsid w:val="001A5DC2"/>
    <w:rsid w:val="001A6760"/>
    <w:rsid w:val="001B04BD"/>
    <w:rsid w:val="001B14B7"/>
    <w:rsid w:val="001B163C"/>
    <w:rsid w:val="001B21F1"/>
    <w:rsid w:val="001B2685"/>
    <w:rsid w:val="001B2DC6"/>
    <w:rsid w:val="001B3124"/>
    <w:rsid w:val="001B360C"/>
    <w:rsid w:val="001B6F80"/>
    <w:rsid w:val="001B766D"/>
    <w:rsid w:val="001C06C3"/>
    <w:rsid w:val="001C0D32"/>
    <w:rsid w:val="001C0EB4"/>
    <w:rsid w:val="001C1A72"/>
    <w:rsid w:val="001C3D78"/>
    <w:rsid w:val="001C3EBC"/>
    <w:rsid w:val="001C53C3"/>
    <w:rsid w:val="001C5F46"/>
    <w:rsid w:val="001D0CAE"/>
    <w:rsid w:val="001D1C98"/>
    <w:rsid w:val="001D3380"/>
    <w:rsid w:val="001D34D8"/>
    <w:rsid w:val="001D3A5F"/>
    <w:rsid w:val="001D415C"/>
    <w:rsid w:val="001D51C5"/>
    <w:rsid w:val="001D5460"/>
    <w:rsid w:val="001E38E4"/>
    <w:rsid w:val="001E3ACD"/>
    <w:rsid w:val="001E4BE1"/>
    <w:rsid w:val="001E5129"/>
    <w:rsid w:val="001E537C"/>
    <w:rsid w:val="001E5F07"/>
    <w:rsid w:val="001E66EC"/>
    <w:rsid w:val="001E67C2"/>
    <w:rsid w:val="001E73DC"/>
    <w:rsid w:val="001F001E"/>
    <w:rsid w:val="001F0197"/>
    <w:rsid w:val="001F16C3"/>
    <w:rsid w:val="001F3173"/>
    <w:rsid w:val="001F3B96"/>
    <w:rsid w:val="001F5265"/>
    <w:rsid w:val="001F7318"/>
    <w:rsid w:val="001F7F0F"/>
    <w:rsid w:val="00203A46"/>
    <w:rsid w:val="00204759"/>
    <w:rsid w:val="00205757"/>
    <w:rsid w:val="0020699F"/>
    <w:rsid w:val="00210AE9"/>
    <w:rsid w:val="00210D71"/>
    <w:rsid w:val="00211209"/>
    <w:rsid w:val="0021272B"/>
    <w:rsid w:val="002128AC"/>
    <w:rsid w:val="00216CB9"/>
    <w:rsid w:val="00217D05"/>
    <w:rsid w:val="002214E4"/>
    <w:rsid w:val="00222F12"/>
    <w:rsid w:val="00225391"/>
    <w:rsid w:val="0022612A"/>
    <w:rsid w:val="00226382"/>
    <w:rsid w:val="002270AC"/>
    <w:rsid w:val="00227871"/>
    <w:rsid w:val="0023026F"/>
    <w:rsid w:val="00230ADF"/>
    <w:rsid w:val="00232638"/>
    <w:rsid w:val="0023334B"/>
    <w:rsid w:val="002338BA"/>
    <w:rsid w:val="00240C77"/>
    <w:rsid w:val="0024289A"/>
    <w:rsid w:val="00242E2C"/>
    <w:rsid w:val="002431D3"/>
    <w:rsid w:val="00244F82"/>
    <w:rsid w:val="00245603"/>
    <w:rsid w:val="0025074E"/>
    <w:rsid w:val="0025079F"/>
    <w:rsid w:val="0025117A"/>
    <w:rsid w:val="0025121A"/>
    <w:rsid w:val="00251448"/>
    <w:rsid w:val="002525BD"/>
    <w:rsid w:val="00252E55"/>
    <w:rsid w:val="0025344C"/>
    <w:rsid w:val="00253CEF"/>
    <w:rsid w:val="002542B0"/>
    <w:rsid w:val="002545E0"/>
    <w:rsid w:val="002550E4"/>
    <w:rsid w:val="00255FE3"/>
    <w:rsid w:val="00256A37"/>
    <w:rsid w:val="00261D75"/>
    <w:rsid w:val="0026215E"/>
    <w:rsid w:val="002624EE"/>
    <w:rsid w:val="002639DA"/>
    <w:rsid w:val="002647F8"/>
    <w:rsid w:val="00265F98"/>
    <w:rsid w:val="00266023"/>
    <w:rsid w:val="00271184"/>
    <w:rsid w:val="00272995"/>
    <w:rsid w:val="0027336B"/>
    <w:rsid w:val="00273576"/>
    <w:rsid w:val="00273994"/>
    <w:rsid w:val="002746CE"/>
    <w:rsid w:val="002761B8"/>
    <w:rsid w:val="002776F9"/>
    <w:rsid w:val="00277B6E"/>
    <w:rsid w:val="00277C77"/>
    <w:rsid w:val="002805F3"/>
    <w:rsid w:val="00280E29"/>
    <w:rsid w:val="00282590"/>
    <w:rsid w:val="002834AF"/>
    <w:rsid w:val="00283D22"/>
    <w:rsid w:val="00284AC2"/>
    <w:rsid w:val="0029021C"/>
    <w:rsid w:val="00293353"/>
    <w:rsid w:val="0029372A"/>
    <w:rsid w:val="0029497A"/>
    <w:rsid w:val="002956A4"/>
    <w:rsid w:val="00296B94"/>
    <w:rsid w:val="00297058"/>
    <w:rsid w:val="002A256A"/>
    <w:rsid w:val="002A4220"/>
    <w:rsid w:val="002A6383"/>
    <w:rsid w:val="002A6B0D"/>
    <w:rsid w:val="002A6FEE"/>
    <w:rsid w:val="002B0694"/>
    <w:rsid w:val="002B2AC0"/>
    <w:rsid w:val="002B2FC8"/>
    <w:rsid w:val="002B32E8"/>
    <w:rsid w:val="002B37FE"/>
    <w:rsid w:val="002B48FC"/>
    <w:rsid w:val="002B50FD"/>
    <w:rsid w:val="002B7273"/>
    <w:rsid w:val="002C11E9"/>
    <w:rsid w:val="002C179C"/>
    <w:rsid w:val="002C1D7C"/>
    <w:rsid w:val="002C2549"/>
    <w:rsid w:val="002C2AC6"/>
    <w:rsid w:val="002C3622"/>
    <w:rsid w:val="002C3845"/>
    <w:rsid w:val="002C4B48"/>
    <w:rsid w:val="002C684E"/>
    <w:rsid w:val="002D1060"/>
    <w:rsid w:val="002D1238"/>
    <w:rsid w:val="002D35D6"/>
    <w:rsid w:val="002E2892"/>
    <w:rsid w:val="002E39AA"/>
    <w:rsid w:val="002E3CE9"/>
    <w:rsid w:val="002E3E76"/>
    <w:rsid w:val="002E5973"/>
    <w:rsid w:val="002E6ED1"/>
    <w:rsid w:val="002F1C77"/>
    <w:rsid w:val="002F1E7A"/>
    <w:rsid w:val="002F6C97"/>
    <w:rsid w:val="002F6E58"/>
    <w:rsid w:val="003004E0"/>
    <w:rsid w:val="00301A60"/>
    <w:rsid w:val="003039C3"/>
    <w:rsid w:val="003067A5"/>
    <w:rsid w:val="003112DF"/>
    <w:rsid w:val="00312E6E"/>
    <w:rsid w:val="00313483"/>
    <w:rsid w:val="00313CF3"/>
    <w:rsid w:val="00313DE9"/>
    <w:rsid w:val="00314F89"/>
    <w:rsid w:val="003154F7"/>
    <w:rsid w:val="003169FE"/>
    <w:rsid w:val="00316E24"/>
    <w:rsid w:val="0031714E"/>
    <w:rsid w:val="00317A77"/>
    <w:rsid w:val="0032126D"/>
    <w:rsid w:val="0032166E"/>
    <w:rsid w:val="003230F1"/>
    <w:rsid w:val="00324ABF"/>
    <w:rsid w:val="00325171"/>
    <w:rsid w:val="0032599A"/>
    <w:rsid w:val="0032631C"/>
    <w:rsid w:val="0032700F"/>
    <w:rsid w:val="00331514"/>
    <w:rsid w:val="00332A4E"/>
    <w:rsid w:val="00332ECE"/>
    <w:rsid w:val="00333EF7"/>
    <w:rsid w:val="003348D9"/>
    <w:rsid w:val="003354CA"/>
    <w:rsid w:val="003354D7"/>
    <w:rsid w:val="00336697"/>
    <w:rsid w:val="00336795"/>
    <w:rsid w:val="00336B4A"/>
    <w:rsid w:val="00336D4D"/>
    <w:rsid w:val="00337E62"/>
    <w:rsid w:val="00340249"/>
    <w:rsid w:val="0034129A"/>
    <w:rsid w:val="003415F1"/>
    <w:rsid w:val="003421D5"/>
    <w:rsid w:val="003432F4"/>
    <w:rsid w:val="003438E0"/>
    <w:rsid w:val="00344AC0"/>
    <w:rsid w:val="003459EA"/>
    <w:rsid w:val="0034601C"/>
    <w:rsid w:val="003471B7"/>
    <w:rsid w:val="003478E0"/>
    <w:rsid w:val="00347E4D"/>
    <w:rsid w:val="00350325"/>
    <w:rsid w:val="003504D0"/>
    <w:rsid w:val="00353B09"/>
    <w:rsid w:val="00353B18"/>
    <w:rsid w:val="00353D21"/>
    <w:rsid w:val="00354F24"/>
    <w:rsid w:val="00356179"/>
    <w:rsid w:val="003574ED"/>
    <w:rsid w:val="00360796"/>
    <w:rsid w:val="003607E8"/>
    <w:rsid w:val="00363BE1"/>
    <w:rsid w:val="0036502C"/>
    <w:rsid w:val="00365D17"/>
    <w:rsid w:val="00366304"/>
    <w:rsid w:val="00366384"/>
    <w:rsid w:val="003663C1"/>
    <w:rsid w:val="003664A2"/>
    <w:rsid w:val="003666AD"/>
    <w:rsid w:val="00372514"/>
    <w:rsid w:val="00373B8A"/>
    <w:rsid w:val="00373C8B"/>
    <w:rsid w:val="00375879"/>
    <w:rsid w:val="00375B28"/>
    <w:rsid w:val="0037618E"/>
    <w:rsid w:val="00376EE4"/>
    <w:rsid w:val="003770AE"/>
    <w:rsid w:val="0038082F"/>
    <w:rsid w:val="00380D96"/>
    <w:rsid w:val="0038141D"/>
    <w:rsid w:val="00381AE0"/>
    <w:rsid w:val="003827BE"/>
    <w:rsid w:val="00383C87"/>
    <w:rsid w:val="00383D58"/>
    <w:rsid w:val="00384A1E"/>
    <w:rsid w:val="003855DE"/>
    <w:rsid w:val="00385D4F"/>
    <w:rsid w:val="00386E8C"/>
    <w:rsid w:val="00387C09"/>
    <w:rsid w:val="003905A7"/>
    <w:rsid w:val="00393F4D"/>
    <w:rsid w:val="00394D85"/>
    <w:rsid w:val="0039568A"/>
    <w:rsid w:val="003968EB"/>
    <w:rsid w:val="00396E4E"/>
    <w:rsid w:val="0039792F"/>
    <w:rsid w:val="003A09F9"/>
    <w:rsid w:val="003A25EE"/>
    <w:rsid w:val="003A3AFD"/>
    <w:rsid w:val="003A5243"/>
    <w:rsid w:val="003A66C4"/>
    <w:rsid w:val="003A67A4"/>
    <w:rsid w:val="003A6881"/>
    <w:rsid w:val="003A6AD8"/>
    <w:rsid w:val="003B13A2"/>
    <w:rsid w:val="003B1F25"/>
    <w:rsid w:val="003B3814"/>
    <w:rsid w:val="003B6220"/>
    <w:rsid w:val="003B64E3"/>
    <w:rsid w:val="003C1649"/>
    <w:rsid w:val="003C16EB"/>
    <w:rsid w:val="003C29AC"/>
    <w:rsid w:val="003C4234"/>
    <w:rsid w:val="003C4EC2"/>
    <w:rsid w:val="003C5016"/>
    <w:rsid w:val="003C7035"/>
    <w:rsid w:val="003D0158"/>
    <w:rsid w:val="003D029D"/>
    <w:rsid w:val="003D1B96"/>
    <w:rsid w:val="003D1F0D"/>
    <w:rsid w:val="003D26A5"/>
    <w:rsid w:val="003D277E"/>
    <w:rsid w:val="003D2A69"/>
    <w:rsid w:val="003D37FF"/>
    <w:rsid w:val="003D4C3B"/>
    <w:rsid w:val="003D509F"/>
    <w:rsid w:val="003D6B64"/>
    <w:rsid w:val="003E10A2"/>
    <w:rsid w:val="003E1B58"/>
    <w:rsid w:val="003E6699"/>
    <w:rsid w:val="003E68F3"/>
    <w:rsid w:val="003F00B4"/>
    <w:rsid w:val="003F103E"/>
    <w:rsid w:val="003F12A4"/>
    <w:rsid w:val="003F3D7F"/>
    <w:rsid w:val="003F47CC"/>
    <w:rsid w:val="003F4BA4"/>
    <w:rsid w:val="003F595D"/>
    <w:rsid w:val="003F5D14"/>
    <w:rsid w:val="003F5E37"/>
    <w:rsid w:val="003F6BC5"/>
    <w:rsid w:val="003F78F7"/>
    <w:rsid w:val="00401223"/>
    <w:rsid w:val="00401419"/>
    <w:rsid w:val="004030FC"/>
    <w:rsid w:val="00403E1D"/>
    <w:rsid w:val="00404DC8"/>
    <w:rsid w:val="00405066"/>
    <w:rsid w:val="00406319"/>
    <w:rsid w:val="00407EBB"/>
    <w:rsid w:val="00410F39"/>
    <w:rsid w:val="00412495"/>
    <w:rsid w:val="00412920"/>
    <w:rsid w:val="004159A6"/>
    <w:rsid w:val="00416DDC"/>
    <w:rsid w:val="00421662"/>
    <w:rsid w:val="0042216F"/>
    <w:rsid w:val="0042540A"/>
    <w:rsid w:val="00425AB6"/>
    <w:rsid w:val="00425C1B"/>
    <w:rsid w:val="004260DD"/>
    <w:rsid w:val="0042617B"/>
    <w:rsid w:val="00426BFF"/>
    <w:rsid w:val="00430087"/>
    <w:rsid w:val="004309B1"/>
    <w:rsid w:val="004309DC"/>
    <w:rsid w:val="004314EF"/>
    <w:rsid w:val="00431B43"/>
    <w:rsid w:val="00434312"/>
    <w:rsid w:val="00435FA3"/>
    <w:rsid w:val="0043613D"/>
    <w:rsid w:val="00436DDD"/>
    <w:rsid w:val="00437EF0"/>
    <w:rsid w:val="00442093"/>
    <w:rsid w:val="00442CE0"/>
    <w:rsid w:val="00442D86"/>
    <w:rsid w:val="004434B5"/>
    <w:rsid w:val="00443C30"/>
    <w:rsid w:val="00443C5F"/>
    <w:rsid w:val="004456C3"/>
    <w:rsid w:val="004508AB"/>
    <w:rsid w:val="004543D8"/>
    <w:rsid w:val="00457D30"/>
    <w:rsid w:val="00460A8E"/>
    <w:rsid w:val="00465DF4"/>
    <w:rsid w:val="00466A51"/>
    <w:rsid w:val="00466D1A"/>
    <w:rsid w:val="0046758F"/>
    <w:rsid w:val="00467B31"/>
    <w:rsid w:val="004725DE"/>
    <w:rsid w:val="00472E67"/>
    <w:rsid w:val="00473B4F"/>
    <w:rsid w:val="0047431B"/>
    <w:rsid w:val="004752F9"/>
    <w:rsid w:val="00475868"/>
    <w:rsid w:val="00475874"/>
    <w:rsid w:val="00475919"/>
    <w:rsid w:val="00476A64"/>
    <w:rsid w:val="00482DE1"/>
    <w:rsid w:val="00482DFB"/>
    <w:rsid w:val="00484B7D"/>
    <w:rsid w:val="004854F9"/>
    <w:rsid w:val="00485876"/>
    <w:rsid w:val="00487033"/>
    <w:rsid w:val="00487E2E"/>
    <w:rsid w:val="00490A7A"/>
    <w:rsid w:val="00492B04"/>
    <w:rsid w:val="0049335A"/>
    <w:rsid w:val="00497932"/>
    <w:rsid w:val="00497DDB"/>
    <w:rsid w:val="004A08C9"/>
    <w:rsid w:val="004A3419"/>
    <w:rsid w:val="004A39AE"/>
    <w:rsid w:val="004A3F37"/>
    <w:rsid w:val="004A7B73"/>
    <w:rsid w:val="004B0C19"/>
    <w:rsid w:val="004B1798"/>
    <w:rsid w:val="004B1B4A"/>
    <w:rsid w:val="004B1E0B"/>
    <w:rsid w:val="004B296B"/>
    <w:rsid w:val="004B4D2E"/>
    <w:rsid w:val="004B5EA0"/>
    <w:rsid w:val="004B6144"/>
    <w:rsid w:val="004B7670"/>
    <w:rsid w:val="004B798F"/>
    <w:rsid w:val="004C0899"/>
    <w:rsid w:val="004C2BF3"/>
    <w:rsid w:val="004C5034"/>
    <w:rsid w:val="004C55E0"/>
    <w:rsid w:val="004C6A57"/>
    <w:rsid w:val="004C70A5"/>
    <w:rsid w:val="004C75D8"/>
    <w:rsid w:val="004C78AD"/>
    <w:rsid w:val="004D0D2E"/>
    <w:rsid w:val="004D1BE3"/>
    <w:rsid w:val="004D3451"/>
    <w:rsid w:val="004D3CCC"/>
    <w:rsid w:val="004D6783"/>
    <w:rsid w:val="004D6ACF"/>
    <w:rsid w:val="004D754A"/>
    <w:rsid w:val="004D7E83"/>
    <w:rsid w:val="004E158D"/>
    <w:rsid w:val="004E25A2"/>
    <w:rsid w:val="004E276D"/>
    <w:rsid w:val="004E3C29"/>
    <w:rsid w:val="004E4AA6"/>
    <w:rsid w:val="004E4D56"/>
    <w:rsid w:val="004E4DC6"/>
    <w:rsid w:val="004E5484"/>
    <w:rsid w:val="004E6F5D"/>
    <w:rsid w:val="004F06BC"/>
    <w:rsid w:val="004F097E"/>
    <w:rsid w:val="004F0CCC"/>
    <w:rsid w:val="004F2852"/>
    <w:rsid w:val="004F3A20"/>
    <w:rsid w:val="004F4176"/>
    <w:rsid w:val="004F44E8"/>
    <w:rsid w:val="004F5025"/>
    <w:rsid w:val="004F5288"/>
    <w:rsid w:val="004F54E2"/>
    <w:rsid w:val="004F5E1C"/>
    <w:rsid w:val="00501497"/>
    <w:rsid w:val="0050191A"/>
    <w:rsid w:val="005022BE"/>
    <w:rsid w:val="00502947"/>
    <w:rsid w:val="00502A2C"/>
    <w:rsid w:val="0050477F"/>
    <w:rsid w:val="0050657A"/>
    <w:rsid w:val="0050752C"/>
    <w:rsid w:val="0050799A"/>
    <w:rsid w:val="00511363"/>
    <w:rsid w:val="005113C5"/>
    <w:rsid w:val="00512F57"/>
    <w:rsid w:val="005133F0"/>
    <w:rsid w:val="0051382A"/>
    <w:rsid w:val="00514374"/>
    <w:rsid w:val="00514820"/>
    <w:rsid w:val="00515E39"/>
    <w:rsid w:val="00516A20"/>
    <w:rsid w:val="0051740B"/>
    <w:rsid w:val="00517AF9"/>
    <w:rsid w:val="00517E00"/>
    <w:rsid w:val="00520127"/>
    <w:rsid w:val="0052095C"/>
    <w:rsid w:val="00520D2B"/>
    <w:rsid w:val="00521547"/>
    <w:rsid w:val="00521FD0"/>
    <w:rsid w:val="005248EF"/>
    <w:rsid w:val="00526608"/>
    <w:rsid w:val="00531F6B"/>
    <w:rsid w:val="0053216E"/>
    <w:rsid w:val="00533FE8"/>
    <w:rsid w:val="00534B31"/>
    <w:rsid w:val="00534C63"/>
    <w:rsid w:val="00534FBB"/>
    <w:rsid w:val="00536937"/>
    <w:rsid w:val="005373A7"/>
    <w:rsid w:val="00537A76"/>
    <w:rsid w:val="00540379"/>
    <w:rsid w:val="00540776"/>
    <w:rsid w:val="00541C8F"/>
    <w:rsid w:val="00541E9F"/>
    <w:rsid w:val="005431E9"/>
    <w:rsid w:val="005442D5"/>
    <w:rsid w:val="0055009B"/>
    <w:rsid w:val="00550AAB"/>
    <w:rsid w:val="005513A4"/>
    <w:rsid w:val="00551636"/>
    <w:rsid w:val="005531A8"/>
    <w:rsid w:val="00554889"/>
    <w:rsid w:val="00554D63"/>
    <w:rsid w:val="0055539E"/>
    <w:rsid w:val="005557E3"/>
    <w:rsid w:val="0055627C"/>
    <w:rsid w:val="00557738"/>
    <w:rsid w:val="005605E7"/>
    <w:rsid w:val="00560A2F"/>
    <w:rsid w:val="00560BB8"/>
    <w:rsid w:val="005615D8"/>
    <w:rsid w:val="00561BD5"/>
    <w:rsid w:val="00562A2F"/>
    <w:rsid w:val="00563535"/>
    <w:rsid w:val="00563B00"/>
    <w:rsid w:val="00563D9B"/>
    <w:rsid w:val="0056510C"/>
    <w:rsid w:val="005655FF"/>
    <w:rsid w:val="00565E4A"/>
    <w:rsid w:val="005661D0"/>
    <w:rsid w:val="005671FE"/>
    <w:rsid w:val="0057082F"/>
    <w:rsid w:val="00570D2E"/>
    <w:rsid w:val="00571405"/>
    <w:rsid w:val="00571535"/>
    <w:rsid w:val="005716EF"/>
    <w:rsid w:val="00571EDE"/>
    <w:rsid w:val="0057229D"/>
    <w:rsid w:val="00572F35"/>
    <w:rsid w:val="00574F20"/>
    <w:rsid w:val="005752B5"/>
    <w:rsid w:val="00576D71"/>
    <w:rsid w:val="00577138"/>
    <w:rsid w:val="005772C7"/>
    <w:rsid w:val="00577EF0"/>
    <w:rsid w:val="00580422"/>
    <w:rsid w:val="005808AA"/>
    <w:rsid w:val="00581842"/>
    <w:rsid w:val="00585F8F"/>
    <w:rsid w:val="005873C0"/>
    <w:rsid w:val="00591391"/>
    <w:rsid w:val="005918B0"/>
    <w:rsid w:val="00591CD2"/>
    <w:rsid w:val="00592F91"/>
    <w:rsid w:val="00593BA6"/>
    <w:rsid w:val="0059506A"/>
    <w:rsid w:val="005968BC"/>
    <w:rsid w:val="00597017"/>
    <w:rsid w:val="005977FF"/>
    <w:rsid w:val="00597D8F"/>
    <w:rsid w:val="005A1D8D"/>
    <w:rsid w:val="005A2576"/>
    <w:rsid w:val="005A4E63"/>
    <w:rsid w:val="005A5BB3"/>
    <w:rsid w:val="005A6CC0"/>
    <w:rsid w:val="005A6F04"/>
    <w:rsid w:val="005A75AB"/>
    <w:rsid w:val="005A7A76"/>
    <w:rsid w:val="005B311E"/>
    <w:rsid w:val="005B33B9"/>
    <w:rsid w:val="005B53DE"/>
    <w:rsid w:val="005B59D4"/>
    <w:rsid w:val="005B6647"/>
    <w:rsid w:val="005B73D4"/>
    <w:rsid w:val="005C1F72"/>
    <w:rsid w:val="005C2462"/>
    <w:rsid w:val="005C3787"/>
    <w:rsid w:val="005C3EA9"/>
    <w:rsid w:val="005C3FEB"/>
    <w:rsid w:val="005C5695"/>
    <w:rsid w:val="005D156A"/>
    <w:rsid w:val="005D2758"/>
    <w:rsid w:val="005D3529"/>
    <w:rsid w:val="005D541C"/>
    <w:rsid w:val="005D57F6"/>
    <w:rsid w:val="005D690A"/>
    <w:rsid w:val="005E12CF"/>
    <w:rsid w:val="005E3BEF"/>
    <w:rsid w:val="005E3C9D"/>
    <w:rsid w:val="005E5E50"/>
    <w:rsid w:val="005E6350"/>
    <w:rsid w:val="005E728A"/>
    <w:rsid w:val="005F07E3"/>
    <w:rsid w:val="005F1D34"/>
    <w:rsid w:val="005F2B39"/>
    <w:rsid w:val="005F30C2"/>
    <w:rsid w:val="005F319E"/>
    <w:rsid w:val="005F4081"/>
    <w:rsid w:val="005F4BA1"/>
    <w:rsid w:val="005F5841"/>
    <w:rsid w:val="005F6125"/>
    <w:rsid w:val="005F7943"/>
    <w:rsid w:val="006000F7"/>
    <w:rsid w:val="00601022"/>
    <w:rsid w:val="00601F08"/>
    <w:rsid w:val="0060234E"/>
    <w:rsid w:val="00604351"/>
    <w:rsid w:val="0060486E"/>
    <w:rsid w:val="006055A4"/>
    <w:rsid w:val="0060668F"/>
    <w:rsid w:val="0060703F"/>
    <w:rsid w:val="006078B0"/>
    <w:rsid w:val="006101E2"/>
    <w:rsid w:val="0061051D"/>
    <w:rsid w:val="006130FF"/>
    <w:rsid w:val="00614115"/>
    <w:rsid w:val="00616277"/>
    <w:rsid w:val="006167FF"/>
    <w:rsid w:val="00616E3F"/>
    <w:rsid w:val="00617050"/>
    <w:rsid w:val="00617743"/>
    <w:rsid w:val="006205D1"/>
    <w:rsid w:val="006214FB"/>
    <w:rsid w:val="00621842"/>
    <w:rsid w:val="00622146"/>
    <w:rsid w:val="00625B07"/>
    <w:rsid w:val="006274F4"/>
    <w:rsid w:val="00627C87"/>
    <w:rsid w:val="00630151"/>
    <w:rsid w:val="006304E2"/>
    <w:rsid w:val="00630F37"/>
    <w:rsid w:val="0063233E"/>
    <w:rsid w:val="0063403A"/>
    <w:rsid w:val="0063509A"/>
    <w:rsid w:val="006350AA"/>
    <w:rsid w:val="0063694F"/>
    <w:rsid w:val="00640699"/>
    <w:rsid w:val="006409DE"/>
    <w:rsid w:val="00640ED4"/>
    <w:rsid w:val="00641273"/>
    <w:rsid w:val="006415F0"/>
    <w:rsid w:val="0064256C"/>
    <w:rsid w:val="006429E1"/>
    <w:rsid w:val="006437A8"/>
    <w:rsid w:val="00644585"/>
    <w:rsid w:val="00644877"/>
    <w:rsid w:val="00644A54"/>
    <w:rsid w:val="006455A8"/>
    <w:rsid w:val="00645C71"/>
    <w:rsid w:val="00647489"/>
    <w:rsid w:val="00651992"/>
    <w:rsid w:val="00652151"/>
    <w:rsid w:val="0065587E"/>
    <w:rsid w:val="00655DC2"/>
    <w:rsid w:val="00657DA0"/>
    <w:rsid w:val="00657E91"/>
    <w:rsid w:val="00660E1E"/>
    <w:rsid w:val="00662EDD"/>
    <w:rsid w:val="0066703D"/>
    <w:rsid w:val="006701F1"/>
    <w:rsid w:val="0067047C"/>
    <w:rsid w:val="00670562"/>
    <w:rsid w:val="00672008"/>
    <w:rsid w:val="00674110"/>
    <w:rsid w:val="006742B6"/>
    <w:rsid w:val="006754FD"/>
    <w:rsid w:val="00675B59"/>
    <w:rsid w:val="00675EA7"/>
    <w:rsid w:val="00676FEC"/>
    <w:rsid w:val="006807AB"/>
    <w:rsid w:val="00680989"/>
    <w:rsid w:val="00681F25"/>
    <w:rsid w:val="00684AD0"/>
    <w:rsid w:val="00684E5A"/>
    <w:rsid w:val="00685856"/>
    <w:rsid w:val="00685C07"/>
    <w:rsid w:val="00687FC2"/>
    <w:rsid w:val="00690C92"/>
    <w:rsid w:val="00690D8A"/>
    <w:rsid w:val="006916C6"/>
    <w:rsid w:val="006917C9"/>
    <w:rsid w:val="006931A0"/>
    <w:rsid w:val="00693B00"/>
    <w:rsid w:val="00694320"/>
    <w:rsid w:val="00695C44"/>
    <w:rsid w:val="00695DA2"/>
    <w:rsid w:val="00695E96"/>
    <w:rsid w:val="006A0E7F"/>
    <w:rsid w:val="006A1608"/>
    <w:rsid w:val="006A7043"/>
    <w:rsid w:val="006A7A63"/>
    <w:rsid w:val="006B0311"/>
    <w:rsid w:val="006B231D"/>
    <w:rsid w:val="006B2FFB"/>
    <w:rsid w:val="006B3964"/>
    <w:rsid w:val="006B3F5D"/>
    <w:rsid w:val="006B5070"/>
    <w:rsid w:val="006B7343"/>
    <w:rsid w:val="006C05E9"/>
    <w:rsid w:val="006C2088"/>
    <w:rsid w:val="006C2615"/>
    <w:rsid w:val="006C3F9D"/>
    <w:rsid w:val="006C4058"/>
    <w:rsid w:val="006C67E2"/>
    <w:rsid w:val="006C7470"/>
    <w:rsid w:val="006D366A"/>
    <w:rsid w:val="006D3B2E"/>
    <w:rsid w:val="006D45E4"/>
    <w:rsid w:val="006D6CBD"/>
    <w:rsid w:val="006E31D0"/>
    <w:rsid w:val="006E3307"/>
    <w:rsid w:val="006E348E"/>
    <w:rsid w:val="006E3B05"/>
    <w:rsid w:val="006E44C2"/>
    <w:rsid w:val="006E5967"/>
    <w:rsid w:val="006E6F36"/>
    <w:rsid w:val="006E7132"/>
    <w:rsid w:val="006E7796"/>
    <w:rsid w:val="006E7F3B"/>
    <w:rsid w:val="006F1175"/>
    <w:rsid w:val="006F2BAE"/>
    <w:rsid w:val="006F3059"/>
    <w:rsid w:val="006F5B8F"/>
    <w:rsid w:val="006F7EE0"/>
    <w:rsid w:val="0070263B"/>
    <w:rsid w:val="00702A25"/>
    <w:rsid w:val="007046D3"/>
    <w:rsid w:val="00711BF9"/>
    <w:rsid w:val="00711C3C"/>
    <w:rsid w:val="00712446"/>
    <w:rsid w:val="007127FA"/>
    <w:rsid w:val="00712DEC"/>
    <w:rsid w:val="00713171"/>
    <w:rsid w:val="007132AA"/>
    <w:rsid w:val="007139D3"/>
    <w:rsid w:val="00713B59"/>
    <w:rsid w:val="0071485E"/>
    <w:rsid w:val="00714BDE"/>
    <w:rsid w:val="007150AF"/>
    <w:rsid w:val="007172B7"/>
    <w:rsid w:val="00720812"/>
    <w:rsid w:val="0072168E"/>
    <w:rsid w:val="00723968"/>
    <w:rsid w:val="00723B56"/>
    <w:rsid w:val="007261AA"/>
    <w:rsid w:val="0072683D"/>
    <w:rsid w:val="00730EEC"/>
    <w:rsid w:val="00732C6F"/>
    <w:rsid w:val="00736014"/>
    <w:rsid w:val="007376BA"/>
    <w:rsid w:val="0074223D"/>
    <w:rsid w:val="00743AF3"/>
    <w:rsid w:val="007443C0"/>
    <w:rsid w:val="0074460D"/>
    <w:rsid w:val="007447AD"/>
    <w:rsid w:val="00745C7E"/>
    <w:rsid w:val="007464CC"/>
    <w:rsid w:val="00746613"/>
    <w:rsid w:val="00747F2B"/>
    <w:rsid w:val="00747FD3"/>
    <w:rsid w:val="00750209"/>
    <w:rsid w:val="0075068D"/>
    <w:rsid w:val="007517BC"/>
    <w:rsid w:val="00752AC3"/>
    <w:rsid w:val="00754427"/>
    <w:rsid w:val="00754A20"/>
    <w:rsid w:val="00755704"/>
    <w:rsid w:val="0075577E"/>
    <w:rsid w:val="00756F14"/>
    <w:rsid w:val="00760695"/>
    <w:rsid w:val="00766B24"/>
    <w:rsid w:val="00766D05"/>
    <w:rsid w:val="00767717"/>
    <w:rsid w:val="00770240"/>
    <w:rsid w:val="007714B1"/>
    <w:rsid w:val="00772604"/>
    <w:rsid w:val="007739F4"/>
    <w:rsid w:val="00774B05"/>
    <w:rsid w:val="00774FD5"/>
    <w:rsid w:val="00781A09"/>
    <w:rsid w:val="00782449"/>
    <w:rsid w:val="00783F77"/>
    <w:rsid w:val="0078461C"/>
    <w:rsid w:val="00784886"/>
    <w:rsid w:val="00785AE7"/>
    <w:rsid w:val="0078758A"/>
    <w:rsid w:val="00787BE6"/>
    <w:rsid w:val="007901DC"/>
    <w:rsid w:val="0079072F"/>
    <w:rsid w:val="00795601"/>
    <w:rsid w:val="0079686F"/>
    <w:rsid w:val="007A054B"/>
    <w:rsid w:val="007A0BCA"/>
    <w:rsid w:val="007A17D5"/>
    <w:rsid w:val="007A1E4C"/>
    <w:rsid w:val="007A2038"/>
    <w:rsid w:val="007A20C7"/>
    <w:rsid w:val="007A3849"/>
    <w:rsid w:val="007A3FDF"/>
    <w:rsid w:val="007A41A9"/>
    <w:rsid w:val="007A5033"/>
    <w:rsid w:val="007A5644"/>
    <w:rsid w:val="007A6D68"/>
    <w:rsid w:val="007A7117"/>
    <w:rsid w:val="007B195C"/>
    <w:rsid w:val="007B2844"/>
    <w:rsid w:val="007B4889"/>
    <w:rsid w:val="007B7739"/>
    <w:rsid w:val="007B7C28"/>
    <w:rsid w:val="007C0BB9"/>
    <w:rsid w:val="007C1AD9"/>
    <w:rsid w:val="007C38B8"/>
    <w:rsid w:val="007C47C2"/>
    <w:rsid w:val="007C77A9"/>
    <w:rsid w:val="007D17B0"/>
    <w:rsid w:val="007D18A7"/>
    <w:rsid w:val="007D3075"/>
    <w:rsid w:val="007D3DA6"/>
    <w:rsid w:val="007D4725"/>
    <w:rsid w:val="007D5C5C"/>
    <w:rsid w:val="007D697E"/>
    <w:rsid w:val="007E0F54"/>
    <w:rsid w:val="007E19BC"/>
    <w:rsid w:val="007E28F1"/>
    <w:rsid w:val="007E2C96"/>
    <w:rsid w:val="007E3207"/>
    <w:rsid w:val="007E35B9"/>
    <w:rsid w:val="007E39D2"/>
    <w:rsid w:val="007E4E34"/>
    <w:rsid w:val="007E53BC"/>
    <w:rsid w:val="007E62FB"/>
    <w:rsid w:val="007E6368"/>
    <w:rsid w:val="007E6E7C"/>
    <w:rsid w:val="007E6EA9"/>
    <w:rsid w:val="007E7EED"/>
    <w:rsid w:val="007F0177"/>
    <w:rsid w:val="007F2B1C"/>
    <w:rsid w:val="007F54D4"/>
    <w:rsid w:val="007F69DC"/>
    <w:rsid w:val="007F79CC"/>
    <w:rsid w:val="007F7AE3"/>
    <w:rsid w:val="007F7EEE"/>
    <w:rsid w:val="00801825"/>
    <w:rsid w:val="0080365F"/>
    <w:rsid w:val="00804154"/>
    <w:rsid w:val="008041C1"/>
    <w:rsid w:val="00804CED"/>
    <w:rsid w:val="0080612D"/>
    <w:rsid w:val="00806272"/>
    <w:rsid w:val="008100DB"/>
    <w:rsid w:val="008122F2"/>
    <w:rsid w:val="008135FE"/>
    <w:rsid w:val="00813990"/>
    <w:rsid w:val="00813BE6"/>
    <w:rsid w:val="00813C5C"/>
    <w:rsid w:val="00814A8D"/>
    <w:rsid w:val="00817C1D"/>
    <w:rsid w:val="008219C4"/>
    <w:rsid w:val="00821ACC"/>
    <w:rsid w:val="00823814"/>
    <w:rsid w:val="0082570E"/>
    <w:rsid w:val="008257A0"/>
    <w:rsid w:val="0082611A"/>
    <w:rsid w:val="00826B03"/>
    <w:rsid w:val="0082760F"/>
    <w:rsid w:val="008310E9"/>
    <w:rsid w:val="00831A49"/>
    <w:rsid w:val="008337D0"/>
    <w:rsid w:val="00835A63"/>
    <w:rsid w:val="00836773"/>
    <w:rsid w:val="00836D51"/>
    <w:rsid w:val="00837732"/>
    <w:rsid w:val="00837747"/>
    <w:rsid w:val="0084105C"/>
    <w:rsid w:val="008420AA"/>
    <w:rsid w:val="008432F2"/>
    <w:rsid w:val="0084494E"/>
    <w:rsid w:val="00845B71"/>
    <w:rsid w:val="00845EA1"/>
    <w:rsid w:val="008478A5"/>
    <w:rsid w:val="00847B24"/>
    <w:rsid w:val="00850181"/>
    <w:rsid w:val="00852811"/>
    <w:rsid w:val="0085468D"/>
    <w:rsid w:val="00854C5A"/>
    <w:rsid w:val="008557C0"/>
    <w:rsid w:val="008561FB"/>
    <w:rsid w:val="0085678D"/>
    <w:rsid w:val="0085692B"/>
    <w:rsid w:val="00856FEE"/>
    <w:rsid w:val="008579DF"/>
    <w:rsid w:val="00857B5F"/>
    <w:rsid w:val="00860E23"/>
    <w:rsid w:val="00862B1A"/>
    <w:rsid w:val="0086376B"/>
    <w:rsid w:val="00863943"/>
    <w:rsid w:val="00863D62"/>
    <w:rsid w:val="008643EA"/>
    <w:rsid w:val="00864A81"/>
    <w:rsid w:val="00864D72"/>
    <w:rsid w:val="00864EFC"/>
    <w:rsid w:val="00865155"/>
    <w:rsid w:val="008654AE"/>
    <w:rsid w:val="00865EA6"/>
    <w:rsid w:val="00870241"/>
    <w:rsid w:val="008704BC"/>
    <w:rsid w:val="00870F40"/>
    <w:rsid w:val="00872BCD"/>
    <w:rsid w:val="008734A3"/>
    <w:rsid w:val="00875296"/>
    <w:rsid w:val="00877C87"/>
    <w:rsid w:val="00881E45"/>
    <w:rsid w:val="00882113"/>
    <w:rsid w:val="00882673"/>
    <w:rsid w:val="0088346E"/>
    <w:rsid w:val="00883557"/>
    <w:rsid w:val="00883E90"/>
    <w:rsid w:val="008851CB"/>
    <w:rsid w:val="00886048"/>
    <w:rsid w:val="00887117"/>
    <w:rsid w:val="0089136F"/>
    <w:rsid w:val="008922E5"/>
    <w:rsid w:val="00892418"/>
    <w:rsid w:val="0089497F"/>
    <w:rsid w:val="00894E4D"/>
    <w:rsid w:val="00895018"/>
    <w:rsid w:val="00895071"/>
    <w:rsid w:val="00895607"/>
    <w:rsid w:val="00896E58"/>
    <w:rsid w:val="008A2234"/>
    <w:rsid w:val="008A2315"/>
    <w:rsid w:val="008A2EA5"/>
    <w:rsid w:val="008A3942"/>
    <w:rsid w:val="008A3EE8"/>
    <w:rsid w:val="008A7A02"/>
    <w:rsid w:val="008B20A0"/>
    <w:rsid w:val="008B21E3"/>
    <w:rsid w:val="008B28A9"/>
    <w:rsid w:val="008B3193"/>
    <w:rsid w:val="008B35DF"/>
    <w:rsid w:val="008B4F0D"/>
    <w:rsid w:val="008B5DDB"/>
    <w:rsid w:val="008B60C7"/>
    <w:rsid w:val="008B635A"/>
    <w:rsid w:val="008B68FD"/>
    <w:rsid w:val="008B6E26"/>
    <w:rsid w:val="008B71D2"/>
    <w:rsid w:val="008B79A1"/>
    <w:rsid w:val="008C0A8B"/>
    <w:rsid w:val="008C1519"/>
    <w:rsid w:val="008C271D"/>
    <w:rsid w:val="008C31F6"/>
    <w:rsid w:val="008C3342"/>
    <w:rsid w:val="008C5CBF"/>
    <w:rsid w:val="008C63AB"/>
    <w:rsid w:val="008C6E85"/>
    <w:rsid w:val="008C7709"/>
    <w:rsid w:val="008C7A6A"/>
    <w:rsid w:val="008C7DDA"/>
    <w:rsid w:val="008D0577"/>
    <w:rsid w:val="008D1671"/>
    <w:rsid w:val="008D2D83"/>
    <w:rsid w:val="008D369D"/>
    <w:rsid w:val="008D4A0B"/>
    <w:rsid w:val="008D6957"/>
    <w:rsid w:val="008D7C88"/>
    <w:rsid w:val="008E0C1B"/>
    <w:rsid w:val="008E14F6"/>
    <w:rsid w:val="008E159C"/>
    <w:rsid w:val="008E1AC3"/>
    <w:rsid w:val="008E2D70"/>
    <w:rsid w:val="008E4232"/>
    <w:rsid w:val="008E56F6"/>
    <w:rsid w:val="008E5EBA"/>
    <w:rsid w:val="008E5FE9"/>
    <w:rsid w:val="008E777A"/>
    <w:rsid w:val="008E7FD2"/>
    <w:rsid w:val="008F139E"/>
    <w:rsid w:val="008F1462"/>
    <w:rsid w:val="008F23D4"/>
    <w:rsid w:val="008F332A"/>
    <w:rsid w:val="008F421B"/>
    <w:rsid w:val="008F6A12"/>
    <w:rsid w:val="008F6BC2"/>
    <w:rsid w:val="008F78FA"/>
    <w:rsid w:val="008F7D76"/>
    <w:rsid w:val="008F7EB3"/>
    <w:rsid w:val="00900672"/>
    <w:rsid w:val="0090163D"/>
    <w:rsid w:val="0090363D"/>
    <w:rsid w:val="009036EA"/>
    <w:rsid w:val="00905A1F"/>
    <w:rsid w:val="009072F7"/>
    <w:rsid w:val="00907C8A"/>
    <w:rsid w:val="00912F80"/>
    <w:rsid w:val="00913220"/>
    <w:rsid w:val="00913F25"/>
    <w:rsid w:val="00913F89"/>
    <w:rsid w:val="00914719"/>
    <w:rsid w:val="00914771"/>
    <w:rsid w:val="00914929"/>
    <w:rsid w:val="0091584A"/>
    <w:rsid w:val="009168B5"/>
    <w:rsid w:val="0092188C"/>
    <w:rsid w:val="00921FE7"/>
    <w:rsid w:val="00922246"/>
    <w:rsid w:val="009230D6"/>
    <w:rsid w:val="0092337A"/>
    <w:rsid w:val="0092394F"/>
    <w:rsid w:val="00923AD9"/>
    <w:rsid w:val="00923FDE"/>
    <w:rsid w:val="00924FA9"/>
    <w:rsid w:val="00925864"/>
    <w:rsid w:val="0092587D"/>
    <w:rsid w:val="00925FCE"/>
    <w:rsid w:val="0092600B"/>
    <w:rsid w:val="009272A4"/>
    <w:rsid w:val="0092776A"/>
    <w:rsid w:val="00927AC9"/>
    <w:rsid w:val="00930A27"/>
    <w:rsid w:val="00932E71"/>
    <w:rsid w:val="009342A7"/>
    <w:rsid w:val="00935635"/>
    <w:rsid w:val="00936721"/>
    <w:rsid w:val="00936F46"/>
    <w:rsid w:val="009409BD"/>
    <w:rsid w:val="00941E48"/>
    <w:rsid w:val="00943150"/>
    <w:rsid w:val="0094483C"/>
    <w:rsid w:val="0094621C"/>
    <w:rsid w:val="00946443"/>
    <w:rsid w:val="00946B4B"/>
    <w:rsid w:val="00946DE4"/>
    <w:rsid w:val="00947476"/>
    <w:rsid w:val="00947828"/>
    <w:rsid w:val="0095111B"/>
    <w:rsid w:val="00951726"/>
    <w:rsid w:val="0095551C"/>
    <w:rsid w:val="00956740"/>
    <w:rsid w:val="00956895"/>
    <w:rsid w:val="00956D59"/>
    <w:rsid w:val="00956F18"/>
    <w:rsid w:val="00957324"/>
    <w:rsid w:val="009578EB"/>
    <w:rsid w:val="0096018D"/>
    <w:rsid w:val="00960800"/>
    <w:rsid w:val="00961F6B"/>
    <w:rsid w:val="009636CA"/>
    <w:rsid w:val="00964A10"/>
    <w:rsid w:val="00964D43"/>
    <w:rsid w:val="00966145"/>
    <w:rsid w:val="0096657E"/>
    <w:rsid w:val="009665AB"/>
    <w:rsid w:val="00966646"/>
    <w:rsid w:val="00966CE8"/>
    <w:rsid w:val="00967BE7"/>
    <w:rsid w:val="00970A00"/>
    <w:rsid w:val="00970B7E"/>
    <w:rsid w:val="00970EE1"/>
    <w:rsid w:val="00971DD8"/>
    <w:rsid w:val="00972A78"/>
    <w:rsid w:val="009733E7"/>
    <w:rsid w:val="00974594"/>
    <w:rsid w:val="00974A17"/>
    <w:rsid w:val="00975336"/>
    <w:rsid w:val="0097544F"/>
    <w:rsid w:val="00980E2F"/>
    <w:rsid w:val="009826D5"/>
    <w:rsid w:val="00982895"/>
    <w:rsid w:val="0098575E"/>
    <w:rsid w:val="00985971"/>
    <w:rsid w:val="009871E8"/>
    <w:rsid w:val="00990CAF"/>
    <w:rsid w:val="00991A90"/>
    <w:rsid w:val="00991CDA"/>
    <w:rsid w:val="00991FEB"/>
    <w:rsid w:val="00992A2B"/>
    <w:rsid w:val="00994CA3"/>
    <w:rsid w:val="00994D58"/>
    <w:rsid w:val="00995383"/>
    <w:rsid w:val="00996BFE"/>
    <w:rsid w:val="009A146D"/>
    <w:rsid w:val="009A2600"/>
    <w:rsid w:val="009A2B4C"/>
    <w:rsid w:val="009A38FC"/>
    <w:rsid w:val="009A5808"/>
    <w:rsid w:val="009A6911"/>
    <w:rsid w:val="009A6FBE"/>
    <w:rsid w:val="009A7BAF"/>
    <w:rsid w:val="009B1B33"/>
    <w:rsid w:val="009B1D31"/>
    <w:rsid w:val="009B50A2"/>
    <w:rsid w:val="009B5F02"/>
    <w:rsid w:val="009C0A00"/>
    <w:rsid w:val="009C2410"/>
    <w:rsid w:val="009C26B6"/>
    <w:rsid w:val="009C39D5"/>
    <w:rsid w:val="009C454C"/>
    <w:rsid w:val="009C48F6"/>
    <w:rsid w:val="009C492F"/>
    <w:rsid w:val="009C4B7B"/>
    <w:rsid w:val="009D120D"/>
    <w:rsid w:val="009D1B16"/>
    <w:rsid w:val="009D4900"/>
    <w:rsid w:val="009D545D"/>
    <w:rsid w:val="009D5E2B"/>
    <w:rsid w:val="009D5F68"/>
    <w:rsid w:val="009D7BEB"/>
    <w:rsid w:val="009E00CA"/>
    <w:rsid w:val="009E0E92"/>
    <w:rsid w:val="009E2B5F"/>
    <w:rsid w:val="009E69AF"/>
    <w:rsid w:val="009E7771"/>
    <w:rsid w:val="009F0A49"/>
    <w:rsid w:val="009F2F77"/>
    <w:rsid w:val="009F6342"/>
    <w:rsid w:val="009F69A2"/>
    <w:rsid w:val="009F6A81"/>
    <w:rsid w:val="009F7633"/>
    <w:rsid w:val="009F7B2E"/>
    <w:rsid w:val="00A000C5"/>
    <w:rsid w:val="00A027A2"/>
    <w:rsid w:val="00A02C8F"/>
    <w:rsid w:val="00A02D62"/>
    <w:rsid w:val="00A07E32"/>
    <w:rsid w:val="00A1287F"/>
    <w:rsid w:val="00A128CD"/>
    <w:rsid w:val="00A13702"/>
    <w:rsid w:val="00A1442A"/>
    <w:rsid w:val="00A15441"/>
    <w:rsid w:val="00A163BF"/>
    <w:rsid w:val="00A16F99"/>
    <w:rsid w:val="00A17133"/>
    <w:rsid w:val="00A21DE1"/>
    <w:rsid w:val="00A2262E"/>
    <w:rsid w:val="00A22779"/>
    <w:rsid w:val="00A24249"/>
    <w:rsid w:val="00A249B7"/>
    <w:rsid w:val="00A26258"/>
    <w:rsid w:val="00A265CD"/>
    <w:rsid w:val="00A27498"/>
    <w:rsid w:val="00A277F7"/>
    <w:rsid w:val="00A27E16"/>
    <w:rsid w:val="00A32885"/>
    <w:rsid w:val="00A35D60"/>
    <w:rsid w:val="00A363DA"/>
    <w:rsid w:val="00A37751"/>
    <w:rsid w:val="00A40F54"/>
    <w:rsid w:val="00A41E08"/>
    <w:rsid w:val="00A425DB"/>
    <w:rsid w:val="00A42779"/>
    <w:rsid w:val="00A43CBE"/>
    <w:rsid w:val="00A44BF4"/>
    <w:rsid w:val="00A451F3"/>
    <w:rsid w:val="00A46440"/>
    <w:rsid w:val="00A46C8D"/>
    <w:rsid w:val="00A50E2D"/>
    <w:rsid w:val="00A51AA0"/>
    <w:rsid w:val="00A54252"/>
    <w:rsid w:val="00A545C5"/>
    <w:rsid w:val="00A559B4"/>
    <w:rsid w:val="00A60A26"/>
    <w:rsid w:val="00A65150"/>
    <w:rsid w:val="00A661D1"/>
    <w:rsid w:val="00A67FDE"/>
    <w:rsid w:val="00A710D3"/>
    <w:rsid w:val="00A71732"/>
    <w:rsid w:val="00A71B99"/>
    <w:rsid w:val="00A725B0"/>
    <w:rsid w:val="00A735CC"/>
    <w:rsid w:val="00A739D5"/>
    <w:rsid w:val="00A7477A"/>
    <w:rsid w:val="00A76DEF"/>
    <w:rsid w:val="00A773F3"/>
    <w:rsid w:val="00A80A22"/>
    <w:rsid w:val="00A80B6B"/>
    <w:rsid w:val="00A81C27"/>
    <w:rsid w:val="00A827D7"/>
    <w:rsid w:val="00A82EAF"/>
    <w:rsid w:val="00A83662"/>
    <w:rsid w:val="00A83941"/>
    <w:rsid w:val="00A845BA"/>
    <w:rsid w:val="00A84C8F"/>
    <w:rsid w:val="00A84D23"/>
    <w:rsid w:val="00A8535A"/>
    <w:rsid w:val="00A85483"/>
    <w:rsid w:val="00A86534"/>
    <w:rsid w:val="00A86E11"/>
    <w:rsid w:val="00A878EF"/>
    <w:rsid w:val="00A90461"/>
    <w:rsid w:val="00A9083D"/>
    <w:rsid w:val="00A915D3"/>
    <w:rsid w:val="00A92CC4"/>
    <w:rsid w:val="00A939BF"/>
    <w:rsid w:val="00A93A09"/>
    <w:rsid w:val="00A943CE"/>
    <w:rsid w:val="00A94A5F"/>
    <w:rsid w:val="00A96FA4"/>
    <w:rsid w:val="00A975B8"/>
    <w:rsid w:val="00AA0A49"/>
    <w:rsid w:val="00AA11CA"/>
    <w:rsid w:val="00AA1549"/>
    <w:rsid w:val="00AA1C76"/>
    <w:rsid w:val="00AA2C70"/>
    <w:rsid w:val="00AA2F11"/>
    <w:rsid w:val="00AA45BE"/>
    <w:rsid w:val="00AA4EB8"/>
    <w:rsid w:val="00AA5F63"/>
    <w:rsid w:val="00AB2593"/>
    <w:rsid w:val="00AB2C4F"/>
    <w:rsid w:val="00AB2F25"/>
    <w:rsid w:val="00AB496D"/>
    <w:rsid w:val="00AB6F3B"/>
    <w:rsid w:val="00AC01E6"/>
    <w:rsid w:val="00AC13D9"/>
    <w:rsid w:val="00AC4450"/>
    <w:rsid w:val="00AC60CC"/>
    <w:rsid w:val="00AC620C"/>
    <w:rsid w:val="00AC65BB"/>
    <w:rsid w:val="00AC7414"/>
    <w:rsid w:val="00AD00F0"/>
    <w:rsid w:val="00AD14AE"/>
    <w:rsid w:val="00AD1EC1"/>
    <w:rsid w:val="00AD3509"/>
    <w:rsid w:val="00AD3E56"/>
    <w:rsid w:val="00AD4B9F"/>
    <w:rsid w:val="00AD5184"/>
    <w:rsid w:val="00AD568C"/>
    <w:rsid w:val="00AD5AAF"/>
    <w:rsid w:val="00AD60B7"/>
    <w:rsid w:val="00AD6974"/>
    <w:rsid w:val="00AE7800"/>
    <w:rsid w:val="00AE7A03"/>
    <w:rsid w:val="00AF0887"/>
    <w:rsid w:val="00AF1FB6"/>
    <w:rsid w:val="00AF2A90"/>
    <w:rsid w:val="00AF2D39"/>
    <w:rsid w:val="00AF4780"/>
    <w:rsid w:val="00AF4DB4"/>
    <w:rsid w:val="00AF5309"/>
    <w:rsid w:val="00AF6985"/>
    <w:rsid w:val="00AF73D3"/>
    <w:rsid w:val="00B001CC"/>
    <w:rsid w:val="00B02DA9"/>
    <w:rsid w:val="00B03E54"/>
    <w:rsid w:val="00B045EF"/>
    <w:rsid w:val="00B05D83"/>
    <w:rsid w:val="00B06056"/>
    <w:rsid w:val="00B06938"/>
    <w:rsid w:val="00B10CCA"/>
    <w:rsid w:val="00B120EA"/>
    <w:rsid w:val="00B1232D"/>
    <w:rsid w:val="00B16488"/>
    <w:rsid w:val="00B17ED5"/>
    <w:rsid w:val="00B2072E"/>
    <w:rsid w:val="00B21669"/>
    <w:rsid w:val="00B21ACA"/>
    <w:rsid w:val="00B23843"/>
    <w:rsid w:val="00B23FEC"/>
    <w:rsid w:val="00B243AB"/>
    <w:rsid w:val="00B24425"/>
    <w:rsid w:val="00B244B7"/>
    <w:rsid w:val="00B24F21"/>
    <w:rsid w:val="00B26E7B"/>
    <w:rsid w:val="00B271C6"/>
    <w:rsid w:val="00B3371B"/>
    <w:rsid w:val="00B34BCE"/>
    <w:rsid w:val="00B35876"/>
    <w:rsid w:val="00B35C9E"/>
    <w:rsid w:val="00B36D06"/>
    <w:rsid w:val="00B3752B"/>
    <w:rsid w:val="00B40CD4"/>
    <w:rsid w:val="00B4121C"/>
    <w:rsid w:val="00B46568"/>
    <w:rsid w:val="00B46F04"/>
    <w:rsid w:val="00B4755C"/>
    <w:rsid w:val="00B5218C"/>
    <w:rsid w:val="00B533F9"/>
    <w:rsid w:val="00B53E91"/>
    <w:rsid w:val="00B544AC"/>
    <w:rsid w:val="00B5456D"/>
    <w:rsid w:val="00B555C4"/>
    <w:rsid w:val="00B56CBA"/>
    <w:rsid w:val="00B571FD"/>
    <w:rsid w:val="00B60261"/>
    <w:rsid w:val="00B60C8F"/>
    <w:rsid w:val="00B60CB8"/>
    <w:rsid w:val="00B61FB1"/>
    <w:rsid w:val="00B633AE"/>
    <w:rsid w:val="00B63A30"/>
    <w:rsid w:val="00B64912"/>
    <w:rsid w:val="00B6660C"/>
    <w:rsid w:val="00B670E0"/>
    <w:rsid w:val="00B673B7"/>
    <w:rsid w:val="00B674EB"/>
    <w:rsid w:val="00B7080D"/>
    <w:rsid w:val="00B717F2"/>
    <w:rsid w:val="00B73051"/>
    <w:rsid w:val="00B73BB9"/>
    <w:rsid w:val="00B74262"/>
    <w:rsid w:val="00B74563"/>
    <w:rsid w:val="00B75591"/>
    <w:rsid w:val="00B77243"/>
    <w:rsid w:val="00B802E0"/>
    <w:rsid w:val="00B80923"/>
    <w:rsid w:val="00B82791"/>
    <w:rsid w:val="00B828C8"/>
    <w:rsid w:val="00B83D56"/>
    <w:rsid w:val="00B8603D"/>
    <w:rsid w:val="00B860F2"/>
    <w:rsid w:val="00B87CA1"/>
    <w:rsid w:val="00B90C30"/>
    <w:rsid w:val="00B9120B"/>
    <w:rsid w:val="00B9215A"/>
    <w:rsid w:val="00B926CB"/>
    <w:rsid w:val="00B929E2"/>
    <w:rsid w:val="00B93081"/>
    <w:rsid w:val="00B94B49"/>
    <w:rsid w:val="00B95327"/>
    <w:rsid w:val="00B9595A"/>
    <w:rsid w:val="00B96C10"/>
    <w:rsid w:val="00B96FAF"/>
    <w:rsid w:val="00B97578"/>
    <w:rsid w:val="00B97A4E"/>
    <w:rsid w:val="00B97E6F"/>
    <w:rsid w:val="00BA1699"/>
    <w:rsid w:val="00BA443D"/>
    <w:rsid w:val="00BA470B"/>
    <w:rsid w:val="00BA4F49"/>
    <w:rsid w:val="00BA583C"/>
    <w:rsid w:val="00BA5E15"/>
    <w:rsid w:val="00BA700D"/>
    <w:rsid w:val="00BA7356"/>
    <w:rsid w:val="00BA7B97"/>
    <w:rsid w:val="00BB1637"/>
    <w:rsid w:val="00BB20BF"/>
    <w:rsid w:val="00BB46AD"/>
    <w:rsid w:val="00BB6660"/>
    <w:rsid w:val="00BC0914"/>
    <w:rsid w:val="00BC17FA"/>
    <w:rsid w:val="00BC345B"/>
    <w:rsid w:val="00BD386F"/>
    <w:rsid w:val="00BD48C5"/>
    <w:rsid w:val="00BD67C8"/>
    <w:rsid w:val="00BD6C4C"/>
    <w:rsid w:val="00BE1E46"/>
    <w:rsid w:val="00BE3B9E"/>
    <w:rsid w:val="00BE4454"/>
    <w:rsid w:val="00BE52CC"/>
    <w:rsid w:val="00BE7CAA"/>
    <w:rsid w:val="00BF0390"/>
    <w:rsid w:val="00BF0655"/>
    <w:rsid w:val="00BF06C5"/>
    <w:rsid w:val="00BF0D7E"/>
    <w:rsid w:val="00BF1ACF"/>
    <w:rsid w:val="00BF44A0"/>
    <w:rsid w:val="00BF46EA"/>
    <w:rsid w:val="00BF6F19"/>
    <w:rsid w:val="00BF7169"/>
    <w:rsid w:val="00BF75A1"/>
    <w:rsid w:val="00BF7975"/>
    <w:rsid w:val="00BF79BA"/>
    <w:rsid w:val="00C00855"/>
    <w:rsid w:val="00C009B3"/>
    <w:rsid w:val="00C01D2E"/>
    <w:rsid w:val="00C01D62"/>
    <w:rsid w:val="00C03AB4"/>
    <w:rsid w:val="00C03B0C"/>
    <w:rsid w:val="00C03D97"/>
    <w:rsid w:val="00C040F2"/>
    <w:rsid w:val="00C0464B"/>
    <w:rsid w:val="00C06408"/>
    <w:rsid w:val="00C06727"/>
    <w:rsid w:val="00C06766"/>
    <w:rsid w:val="00C06E07"/>
    <w:rsid w:val="00C07DCE"/>
    <w:rsid w:val="00C10AE9"/>
    <w:rsid w:val="00C12B8C"/>
    <w:rsid w:val="00C137A2"/>
    <w:rsid w:val="00C13A24"/>
    <w:rsid w:val="00C13F5C"/>
    <w:rsid w:val="00C16F60"/>
    <w:rsid w:val="00C17AB3"/>
    <w:rsid w:val="00C23448"/>
    <w:rsid w:val="00C2346E"/>
    <w:rsid w:val="00C239FE"/>
    <w:rsid w:val="00C2446B"/>
    <w:rsid w:val="00C335D8"/>
    <w:rsid w:val="00C33863"/>
    <w:rsid w:val="00C33EB5"/>
    <w:rsid w:val="00C34C50"/>
    <w:rsid w:val="00C35C0F"/>
    <w:rsid w:val="00C36F34"/>
    <w:rsid w:val="00C372ED"/>
    <w:rsid w:val="00C40DCC"/>
    <w:rsid w:val="00C420F9"/>
    <w:rsid w:val="00C44BAC"/>
    <w:rsid w:val="00C45E4F"/>
    <w:rsid w:val="00C47287"/>
    <w:rsid w:val="00C5077C"/>
    <w:rsid w:val="00C50B24"/>
    <w:rsid w:val="00C5163F"/>
    <w:rsid w:val="00C51B7A"/>
    <w:rsid w:val="00C51CFF"/>
    <w:rsid w:val="00C51E6B"/>
    <w:rsid w:val="00C52713"/>
    <w:rsid w:val="00C52814"/>
    <w:rsid w:val="00C540E0"/>
    <w:rsid w:val="00C5625D"/>
    <w:rsid w:val="00C56D66"/>
    <w:rsid w:val="00C61D5F"/>
    <w:rsid w:val="00C622AE"/>
    <w:rsid w:val="00C628E2"/>
    <w:rsid w:val="00C62D1D"/>
    <w:rsid w:val="00C634BA"/>
    <w:rsid w:val="00C63942"/>
    <w:rsid w:val="00C63E8A"/>
    <w:rsid w:val="00C63FA7"/>
    <w:rsid w:val="00C64C49"/>
    <w:rsid w:val="00C64E8C"/>
    <w:rsid w:val="00C661CF"/>
    <w:rsid w:val="00C664EE"/>
    <w:rsid w:val="00C70747"/>
    <w:rsid w:val="00C73922"/>
    <w:rsid w:val="00C73CEF"/>
    <w:rsid w:val="00C75F19"/>
    <w:rsid w:val="00C768F9"/>
    <w:rsid w:val="00C77B11"/>
    <w:rsid w:val="00C8183C"/>
    <w:rsid w:val="00C83B5C"/>
    <w:rsid w:val="00C83D78"/>
    <w:rsid w:val="00C90E34"/>
    <w:rsid w:val="00C914F8"/>
    <w:rsid w:val="00CA0FB3"/>
    <w:rsid w:val="00CA2439"/>
    <w:rsid w:val="00CA2474"/>
    <w:rsid w:val="00CA4AE0"/>
    <w:rsid w:val="00CA513C"/>
    <w:rsid w:val="00CA5250"/>
    <w:rsid w:val="00CA56D2"/>
    <w:rsid w:val="00CA5ABB"/>
    <w:rsid w:val="00CA701F"/>
    <w:rsid w:val="00CA7EE5"/>
    <w:rsid w:val="00CA7F74"/>
    <w:rsid w:val="00CB0180"/>
    <w:rsid w:val="00CB0412"/>
    <w:rsid w:val="00CB13AB"/>
    <w:rsid w:val="00CB1F5D"/>
    <w:rsid w:val="00CB26A9"/>
    <w:rsid w:val="00CB48E8"/>
    <w:rsid w:val="00CB4E07"/>
    <w:rsid w:val="00CB58B7"/>
    <w:rsid w:val="00CB65EB"/>
    <w:rsid w:val="00CB7AA3"/>
    <w:rsid w:val="00CB7D11"/>
    <w:rsid w:val="00CC0B25"/>
    <w:rsid w:val="00CC0BFF"/>
    <w:rsid w:val="00CC13D1"/>
    <w:rsid w:val="00CC188F"/>
    <w:rsid w:val="00CC485E"/>
    <w:rsid w:val="00CC656F"/>
    <w:rsid w:val="00CC7023"/>
    <w:rsid w:val="00CC7F41"/>
    <w:rsid w:val="00CD1A93"/>
    <w:rsid w:val="00CD25C5"/>
    <w:rsid w:val="00CD2833"/>
    <w:rsid w:val="00CD3DB3"/>
    <w:rsid w:val="00CD4431"/>
    <w:rsid w:val="00CD6B3B"/>
    <w:rsid w:val="00CD6D5C"/>
    <w:rsid w:val="00CE0D23"/>
    <w:rsid w:val="00CE12E7"/>
    <w:rsid w:val="00CE62C4"/>
    <w:rsid w:val="00CE7699"/>
    <w:rsid w:val="00CE7878"/>
    <w:rsid w:val="00CF10D3"/>
    <w:rsid w:val="00CF127C"/>
    <w:rsid w:val="00CF15ED"/>
    <w:rsid w:val="00CF25AF"/>
    <w:rsid w:val="00CF3F8B"/>
    <w:rsid w:val="00CF4CBD"/>
    <w:rsid w:val="00CF5F5F"/>
    <w:rsid w:val="00D00535"/>
    <w:rsid w:val="00D00D99"/>
    <w:rsid w:val="00D0230C"/>
    <w:rsid w:val="00D02D1D"/>
    <w:rsid w:val="00D03C1A"/>
    <w:rsid w:val="00D044EC"/>
    <w:rsid w:val="00D05949"/>
    <w:rsid w:val="00D0595D"/>
    <w:rsid w:val="00D063E2"/>
    <w:rsid w:val="00D10095"/>
    <w:rsid w:val="00D1040A"/>
    <w:rsid w:val="00D108D2"/>
    <w:rsid w:val="00D11932"/>
    <w:rsid w:val="00D1238A"/>
    <w:rsid w:val="00D12AEE"/>
    <w:rsid w:val="00D155E2"/>
    <w:rsid w:val="00D15CF3"/>
    <w:rsid w:val="00D15CFB"/>
    <w:rsid w:val="00D15DDB"/>
    <w:rsid w:val="00D16E23"/>
    <w:rsid w:val="00D2044E"/>
    <w:rsid w:val="00D20627"/>
    <w:rsid w:val="00D21372"/>
    <w:rsid w:val="00D21971"/>
    <w:rsid w:val="00D21DD0"/>
    <w:rsid w:val="00D2264F"/>
    <w:rsid w:val="00D2351B"/>
    <w:rsid w:val="00D25040"/>
    <w:rsid w:val="00D26078"/>
    <w:rsid w:val="00D267FA"/>
    <w:rsid w:val="00D269B5"/>
    <w:rsid w:val="00D26B25"/>
    <w:rsid w:val="00D27023"/>
    <w:rsid w:val="00D30DF9"/>
    <w:rsid w:val="00D32EB0"/>
    <w:rsid w:val="00D32EDA"/>
    <w:rsid w:val="00D32EFF"/>
    <w:rsid w:val="00D338A6"/>
    <w:rsid w:val="00D3394B"/>
    <w:rsid w:val="00D33987"/>
    <w:rsid w:val="00D33DC9"/>
    <w:rsid w:val="00D34735"/>
    <w:rsid w:val="00D35F81"/>
    <w:rsid w:val="00D3695F"/>
    <w:rsid w:val="00D40312"/>
    <w:rsid w:val="00D408F5"/>
    <w:rsid w:val="00D4158E"/>
    <w:rsid w:val="00D41843"/>
    <w:rsid w:val="00D424EA"/>
    <w:rsid w:val="00D45247"/>
    <w:rsid w:val="00D4566F"/>
    <w:rsid w:val="00D4657E"/>
    <w:rsid w:val="00D46D43"/>
    <w:rsid w:val="00D47218"/>
    <w:rsid w:val="00D513A6"/>
    <w:rsid w:val="00D5147D"/>
    <w:rsid w:val="00D51659"/>
    <w:rsid w:val="00D529E1"/>
    <w:rsid w:val="00D52A1C"/>
    <w:rsid w:val="00D54693"/>
    <w:rsid w:val="00D5559C"/>
    <w:rsid w:val="00D56091"/>
    <w:rsid w:val="00D57C22"/>
    <w:rsid w:val="00D62578"/>
    <w:rsid w:val="00D628E0"/>
    <w:rsid w:val="00D62AF9"/>
    <w:rsid w:val="00D62D76"/>
    <w:rsid w:val="00D7168D"/>
    <w:rsid w:val="00D7294C"/>
    <w:rsid w:val="00D74214"/>
    <w:rsid w:val="00D74493"/>
    <w:rsid w:val="00D7582C"/>
    <w:rsid w:val="00D76D45"/>
    <w:rsid w:val="00D776F7"/>
    <w:rsid w:val="00D81182"/>
    <w:rsid w:val="00D8197D"/>
    <w:rsid w:val="00D82EE2"/>
    <w:rsid w:val="00D82F54"/>
    <w:rsid w:val="00D8309F"/>
    <w:rsid w:val="00D84079"/>
    <w:rsid w:val="00D84D7E"/>
    <w:rsid w:val="00D853AE"/>
    <w:rsid w:val="00D85B43"/>
    <w:rsid w:val="00D8652A"/>
    <w:rsid w:val="00D86BC3"/>
    <w:rsid w:val="00D9129F"/>
    <w:rsid w:val="00D91CA3"/>
    <w:rsid w:val="00D92061"/>
    <w:rsid w:val="00D92805"/>
    <w:rsid w:val="00D9366E"/>
    <w:rsid w:val="00D93985"/>
    <w:rsid w:val="00D94ABE"/>
    <w:rsid w:val="00D9618E"/>
    <w:rsid w:val="00D970C7"/>
    <w:rsid w:val="00D97631"/>
    <w:rsid w:val="00DA0663"/>
    <w:rsid w:val="00DA0D3A"/>
    <w:rsid w:val="00DA18DD"/>
    <w:rsid w:val="00DA2543"/>
    <w:rsid w:val="00DA3400"/>
    <w:rsid w:val="00DA3C7B"/>
    <w:rsid w:val="00DA3FC1"/>
    <w:rsid w:val="00DA4A34"/>
    <w:rsid w:val="00DA59A6"/>
    <w:rsid w:val="00DA6000"/>
    <w:rsid w:val="00DB0829"/>
    <w:rsid w:val="00DB0FCA"/>
    <w:rsid w:val="00DB19AC"/>
    <w:rsid w:val="00DB1AA4"/>
    <w:rsid w:val="00DB4AC0"/>
    <w:rsid w:val="00DB6041"/>
    <w:rsid w:val="00DC06C2"/>
    <w:rsid w:val="00DC0B39"/>
    <w:rsid w:val="00DC145D"/>
    <w:rsid w:val="00DC14DE"/>
    <w:rsid w:val="00DC3BF2"/>
    <w:rsid w:val="00DC574A"/>
    <w:rsid w:val="00DC5835"/>
    <w:rsid w:val="00DC7675"/>
    <w:rsid w:val="00DD0CD8"/>
    <w:rsid w:val="00DD26E2"/>
    <w:rsid w:val="00DD2EB1"/>
    <w:rsid w:val="00DD399F"/>
    <w:rsid w:val="00DD4C46"/>
    <w:rsid w:val="00DD5439"/>
    <w:rsid w:val="00DD6424"/>
    <w:rsid w:val="00DD7554"/>
    <w:rsid w:val="00DE03BF"/>
    <w:rsid w:val="00DE1E88"/>
    <w:rsid w:val="00DE21D6"/>
    <w:rsid w:val="00DE2A26"/>
    <w:rsid w:val="00DE3B87"/>
    <w:rsid w:val="00DE5CD1"/>
    <w:rsid w:val="00DE5E82"/>
    <w:rsid w:val="00DE79B8"/>
    <w:rsid w:val="00DF4120"/>
    <w:rsid w:val="00DF537D"/>
    <w:rsid w:val="00DF6850"/>
    <w:rsid w:val="00DF6B2C"/>
    <w:rsid w:val="00DF7A03"/>
    <w:rsid w:val="00DF7A40"/>
    <w:rsid w:val="00E00FAB"/>
    <w:rsid w:val="00E03E07"/>
    <w:rsid w:val="00E045A7"/>
    <w:rsid w:val="00E06369"/>
    <w:rsid w:val="00E10910"/>
    <w:rsid w:val="00E11664"/>
    <w:rsid w:val="00E11A53"/>
    <w:rsid w:val="00E1283B"/>
    <w:rsid w:val="00E12A3F"/>
    <w:rsid w:val="00E12BD5"/>
    <w:rsid w:val="00E13533"/>
    <w:rsid w:val="00E14ACB"/>
    <w:rsid w:val="00E15F5B"/>
    <w:rsid w:val="00E20684"/>
    <w:rsid w:val="00E2104B"/>
    <w:rsid w:val="00E2217A"/>
    <w:rsid w:val="00E224BE"/>
    <w:rsid w:val="00E2260E"/>
    <w:rsid w:val="00E22734"/>
    <w:rsid w:val="00E22CE3"/>
    <w:rsid w:val="00E23615"/>
    <w:rsid w:val="00E236C9"/>
    <w:rsid w:val="00E2392A"/>
    <w:rsid w:val="00E23D6B"/>
    <w:rsid w:val="00E23F63"/>
    <w:rsid w:val="00E2457E"/>
    <w:rsid w:val="00E25361"/>
    <w:rsid w:val="00E27546"/>
    <w:rsid w:val="00E30308"/>
    <w:rsid w:val="00E30577"/>
    <w:rsid w:val="00E306C0"/>
    <w:rsid w:val="00E31056"/>
    <w:rsid w:val="00E312D2"/>
    <w:rsid w:val="00E33074"/>
    <w:rsid w:val="00E340B8"/>
    <w:rsid w:val="00E35BB9"/>
    <w:rsid w:val="00E3771F"/>
    <w:rsid w:val="00E40662"/>
    <w:rsid w:val="00E412D3"/>
    <w:rsid w:val="00E428F4"/>
    <w:rsid w:val="00E435C8"/>
    <w:rsid w:val="00E5134C"/>
    <w:rsid w:val="00E51F35"/>
    <w:rsid w:val="00E52122"/>
    <w:rsid w:val="00E524D5"/>
    <w:rsid w:val="00E549B4"/>
    <w:rsid w:val="00E5570C"/>
    <w:rsid w:val="00E562F6"/>
    <w:rsid w:val="00E600CA"/>
    <w:rsid w:val="00E6070E"/>
    <w:rsid w:val="00E6084E"/>
    <w:rsid w:val="00E635E2"/>
    <w:rsid w:val="00E635EF"/>
    <w:rsid w:val="00E63E5C"/>
    <w:rsid w:val="00E6434B"/>
    <w:rsid w:val="00E64E52"/>
    <w:rsid w:val="00E66E50"/>
    <w:rsid w:val="00E6718A"/>
    <w:rsid w:val="00E72217"/>
    <w:rsid w:val="00E729C4"/>
    <w:rsid w:val="00E75AD4"/>
    <w:rsid w:val="00E75F9C"/>
    <w:rsid w:val="00E77406"/>
    <w:rsid w:val="00E8112B"/>
    <w:rsid w:val="00E8153A"/>
    <w:rsid w:val="00E81A79"/>
    <w:rsid w:val="00E81E92"/>
    <w:rsid w:val="00E82393"/>
    <w:rsid w:val="00E82C8D"/>
    <w:rsid w:val="00E8330E"/>
    <w:rsid w:val="00E83B6A"/>
    <w:rsid w:val="00E84E96"/>
    <w:rsid w:val="00E86CD0"/>
    <w:rsid w:val="00E8761C"/>
    <w:rsid w:val="00E90C98"/>
    <w:rsid w:val="00E92BE6"/>
    <w:rsid w:val="00E931BC"/>
    <w:rsid w:val="00E95B4B"/>
    <w:rsid w:val="00E96791"/>
    <w:rsid w:val="00E978C4"/>
    <w:rsid w:val="00EA2925"/>
    <w:rsid w:val="00EA425F"/>
    <w:rsid w:val="00EA4E1D"/>
    <w:rsid w:val="00EA5C6F"/>
    <w:rsid w:val="00EA60FC"/>
    <w:rsid w:val="00EB0A35"/>
    <w:rsid w:val="00EB1893"/>
    <w:rsid w:val="00EB1C2D"/>
    <w:rsid w:val="00EB20C0"/>
    <w:rsid w:val="00EB2C18"/>
    <w:rsid w:val="00EB4497"/>
    <w:rsid w:val="00EB51FA"/>
    <w:rsid w:val="00EB5A07"/>
    <w:rsid w:val="00EB6001"/>
    <w:rsid w:val="00EB6F9F"/>
    <w:rsid w:val="00EB6FA8"/>
    <w:rsid w:val="00EC0007"/>
    <w:rsid w:val="00EC0456"/>
    <w:rsid w:val="00EC0A79"/>
    <w:rsid w:val="00EC140F"/>
    <w:rsid w:val="00EC17EC"/>
    <w:rsid w:val="00EC21B0"/>
    <w:rsid w:val="00EC332F"/>
    <w:rsid w:val="00EC5D4D"/>
    <w:rsid w:val="00EC6317"/>
    <w:rsid w:val="00EC64FA"/>
    <w:rsid w:val="00EC73D6"/>
    <w:rsid w:val="00ED0B78"/>
    <w:rsid w:val="00ED0C40"/>
    <w:rsid w:val="00ED1105"/>
    <w:rsid w:val="00ED114A"/>
    <w:rsid w:val="00ED13A7"/>
    <w:rsid w:val="00ED197B"/>
    <w:rsid w:val="00ED1F2D"/>
    <w:rsid w:val="00ED30EA"/>
    <w:rsid w:val="00ED467F"/>
    <w:rsid w:val="00ED5BCB"/>
    <w:rsid w:val="00ED77AD"/>
    <w:rsid w:val="00EE0BD2"/>
    <w:rsid w:val="00EE1B6D"/>
    <w:rsid w:val="00EE234F"/>
    <w:rsid w:val="00EE2D8C"/>
    <w:rsid w:val="00EE33FD"/>
    <w:rsid w:val="00EE3A41"/>
    <w:rsid w:val="00EE3B2C"/>
    <w:rsid w:val="00EE40B2"/>
    <w:rsid w:val="00EE6BC5"/>
    <w:rsid w:val="00EE7810"/>
    <w:rsid w:val="00EE7B89"/>
    <w:rsid w:val="00EF0046"/>
    <w:rsid w:val="00EF0BE6"/>
    <w:rsid w:val="00EF0E72"/>
    <w:rsid w:val="00EF0EE4"/>
    <w:rsid w:val="00EF337E"/>
    <w:rsid w:val="00EF6D60"/>
    <w:rsid w:val="00EF7779"/>
    <w:rsid w:val="00F00143"/>
    <w:rsid w:val="00F00CF0"/>
    <w:rsid w:val="00F0263D"/>
    <w:rsid w:val="00F02AB0"/>
    <w:rsid w:val="00F03B62"/>
    <w:rsid w:val="00F03F1D"/>
    <w:rsid w:val="00F0429F"/>
    <w:rsid w:val="00F043F5"/>
    <w:rsid w:val="00F04F53"/>
    <w:rsid w:val="00F05D3F"/>
    <w:rsid w:val="00F06A1C"/>
    <w:rsid w:val="00F0710E"/>
    <w:rsid w:val="00F07B6F"/>
    <w:rsid w:val="00F10409"/>
    <w:rsid w:val="00F107B2"/>
    <w:rsid w:val="00F1156D"/>
    <w:rsid w:val="00F12081"/>
    <w:rsid w:val="00F146B1"/>
    <w:rsid w:val="00F148FC"/>
    <w:rsid w:val="00F14A73"/>
    <w:rsid w:val="00F155BB"/>
    <w:rsid w:val="00F22EF2"/>
    <w:rsid w:val="00F232B1"/>
    <w:rsid w:val="00F2423A"/>
    <w:rsid w:val="00F247C5"/>
    <w:rsid w:val="00F256E6"/>
    <w:rsid w:val="00F2710F"/>
    <w:rsid w:val="00F305D8"/>
    <w:rsid w:val="00F30E1A"/>
    <w:rsid w:val="00F32C33"/>
    <w:rsid w:val="00F332B8"/>
    <w:rsid w:val="00F35597"/>
    <w:rsid w:val="00F362E4"/>
    <w:rsid w:val="00F36859"/>
    <w:rsid w:val="00F36C3A"/>
    <w:rsid w:val="00F37C21"/>
    <w:rsid w:val="00F37F46"/>
    <w:rsid w:val="00F40990"/>
    <w:rsid w:val="00F41323"/>
    <w:rsid w:val="00F417AD"/>
    <w:rsid w:val="00F41905"/>
    <w:rsid w:val="00F42905"/>
    <w:rsid w:val="00F42A87"/>
    <w:rsid w:val="00F42D33"/>
    <w:rsid w:val="00F43AA1"/>
    <w:rsid w:val="00F44BCE"/>
    <w:rsid w:val="00F452D8"/>
    <w:rsid w:val="00F45A99"/>
    <w:rsid w:val="00F46197"/>
    <w:rsid w:val="00F471DC"/>
    <w:rsid w:val="00F47F6A"/>
    <w:rsid w:val="00F50A48"/>
    <w:rsid w:val="00F50FFF"/>
    <w:rsid w:val="00F510DC"/>
    <w:rsid w:val="00F51187"/>
    <w:rsid w:val="00F515D8"/>
    <w:rsid w:val="00F51967"/>
    <w:rsid w:val="00F52699"/>
    <w:rsid w:val="00F534B8"/>
    <w:rsid w:val="00F53628"/>
    <w:rsid w:val="00F5628A"/>
    <w:rsid w:val="00F57724"/>
    <w:rsid w:val="00F57B9C"/>
    <w:rsid w:val="00F57BC4"/>
    <w:rsid w:val="00F60173"/>
    <w:rsid w:val="00F6092B"/>
    <w:rsid w:val="00F61FE4"/>
    <w:rsid w:val="00F636F8"/>
    <w:rsid w:val="00F64414"/>
    <w:rsid w:val="00F6446A"/>
    <w:rsid w:val="00F64B5E"/>
    <w:rsid w:val="00F66221"/>
    <w:rsid w:val="00F678F9"/>
    <w:rsid w:val="00F70BD0"/>
    <w:rsid w:val="00F72719"/>
    <w:rsid w:val="00F72FC2"/>
    <w:rsid w:val="00F737E5"/>
    <w:rsid w:val="00F74D08"/>
    <w:rsid w:val="00F752BF"/>
    <w:rsid w:val="00F767FE"/>
    <w:rsid w:val="00F7784A"/>
    <w:rsid w:val="00F81E0D"/>
    <w:rsid w:val="00F85ADC"/>
    <w:rsid w:val="00F85B3C"/>
    <w:rsid w:val="00F86032"/>
    <w:rsid w:val="00F86714"/>
    <w:rsid w:val="00F915A2"/>
    <w:rsid w:val="00F927BB"/>
    <w:rsid w:val="00F93123"/>
    <w:rsid w:val="00F93AC7"/>
    <w:rsid w:val="00F96805"/>
    <w:rsid w:val="00FA04A8"/>
    <w:rsid w:val="00FA2792"/>
    <w:rsid w:val="00FA2A8C"/>
    <w:rsid w:val="00FA405B"/>
    <w:rsid w:val="00FA4356"/>
    <w:rsid w:val="00FA51CE"/>
    <w:rsid w:val="00FA5A0F"/>
    <w:rsid w:val="00FA5FC2"/>
    <w:rsid w:val="00FA608D"/>
    <w:rsid w:val="00FA76EC"/>
    <w:rsid w:val="00FA7D85"/>
    <w:rsid w:val="00FB13E3"/>
    <w:rsid w:val="00FB189E"/>
    <w:rsid w:val="00FB1FC6"/>
    <w:rsid w:val="00FB2D9F"/>
    <w:rsid w:val="00FB3DFA"/>
    <w:rsid w:val="00FB60DD"/>
    <w:rsid w:val="00FB6668"/>
    <w:rsid w:val="00FB740B"/>
    <w:rsid w:val="00FB7430"/>
    <w:rsid w:val="00FC0B28"/>
    <w:rsid w:val="00FC0F9E"/>
    <w:rsid w:val="00FC1156"/>
    <w:rsid w:val="00FC28EC"/>
    <w:rsid w:val="00FC3869"/>
    <w:rsid w:val="00FC3FD1"/>
    <w:rsid w:val="00FC5807"/>
    <w:rsid w:val="00FC6B68"/>
    <w:rsid w:val="00FD045C"/>
    <w:rsid w:val="00FD1F58"/>
    <w:rsid w:val="00FD322F"/>
    <w:rsid w:val="00FD3335"/>
    <w:rsid w:val="00FD3C20"/>
    <w:rsid w:val="00FD5B47"/>
    <w:rsid w:val="00FD5D4B"/>
    <w:rsid w:val="00FD6055"/>
    <w:rsid w:val="00FE2007"/>
    <w:rsid w:val="00FE2D91"/>
    <w:rsid w:val="00FE3085"/>
    <w:rsid w:val="00FE576A"/>
    <w:rsid w:val="00FE6A48"/>
    <w:rsid w:val="00FE7D3B"/>
    <w:rsid w:val="00FF321D"/>
    <w:rsid w:val="00FF33B8"/>
    <w:rsid w:val="00FF396F"/>
    <w:rsid w:val="00FF3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qFormat="1"/>
    <w:lsdException w:name="toc 2" w:semiHidden="0" w:uiPriority="0" w:qFormat="1"/>
    <w:lsdException w:name="toc 3" w:semiHidden="0" w:uiPriority="0" w:qFormat="1"/>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lsdException w:name="Body Text" w:locked="1" w:uiPriority="0"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iPriority="0"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iPriority="0"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0" w:qFormat="1"/>
  </w:latentStyles>
  <w:style w:type="paragraph" w:default="1" w:styleId="Normal">
    <w:name w:val="Normal"/>
    <w:qFormat/>
    <w:rsid w:val="0005053D"/>
    <w:rPr>
      <w:rFonts w:eastAsia="Times New Roman"/>
      <w:sz w:val="24"/>
    </w:rPr>
  </w:style>
  <w:style w:type="paragraph" w:styleId="Heading1">
    <w:name w:val="heading 1"/>
    <w:basedOn w:val="Normal"/>
    <w:next w:val="Normal"/>
    <w:link w:val="Heading1Char"/>
    <w:qFormat/>
    <w:rsid w:val="0005053D"/>
    <w:pPr>
      <w:keepNext/>
      <w:spacing w:before="240" w:after="60"/>
      <w:outlineLvl w:val="0"/>
    </w:pPr>
    <w:rPr>
      <w:rFonts w:ascii="Cambria" w:hAnsi="Cambria"/>
      <w:b/>
      <w:bCs/>
      <w:kern w:val="32"/>
      <w:sz w:val="32"/>
      <w:szCs w:val="32"/>
    </w:rPr>
  </w:style>
  <w:style w:type="paragraph" w:styleId="Heading2">
    <w:name w:val="heading 2"/>
    <w:aliases w:val="Header 2"/>
    <w:basedOn w:val="Normal"/>
    <w:next w:val="Normal"/>
    <w:link w:val="Heading2Char"/>
    <w:autoRedefine/>
    <w:qFormat/>
    <w:rsid w:val="009F6A81"/>
    <w:pPr>
      <w:keepNext/>
      <w:spacing w:before="240" w:after="60"/>
      <w:outlineLvl w:val="1"/>
    </w:pPr>
    <w:rPr>
      <w:rFonts w:ascii="Arial" w:hAnsi="Arial" w:cs="Arial"/>
      <w:color w:val="000000"/>
      <w:sz w:val="28"/>
      <w:szCs w:val="28"/>
    </w:rPr>
  </w:style>
  <w:style w:type="paragraph" w:styleId="Heading3">
    <w:name w:val="heading 3"/>
    <w:aliases w:val="Don't use"/>
    <w:basedOn w:val="Normal"/>
    <w:next w:val="Normal"/>
    <w:link w:val="Heading3Char"/>
    <w:qFormat/>
    <w:rsid w:val="008E5EBA"/>
    <w:pPr>
      <w:keepNext/>
      <w:spacing w:before="240" w:after="60"/>
      <w:ind w:firstLine="360"/>
      <w:outlineLvl w:val="2"/>
    </w:pPr>
    <w:rPr>
      <w:b/>
      <w:bCs/>
      <w:szCs w:val="26"/>
      <w:lang w:eastAsia="ja-JP"/>
    </w:rPr>
  </w:style>
  <w:style w:type="paragraph" w:styleId="Heading4">
    <w:name w:val="heading 4"/>
    <w:aliases w:val="Do not use"/>
    <w:basedOn w:val="Normal"/>
    <w:next w:val="Normal"/>
    <w:link w:val="Heading4Char"/>
    <w:qFormat/>
    <w:rsid w:val="008E5EBA"/>
    <w:pPr>
      <w:keepNext/>
      <w:tabs>
        <w:tab w:val="right" w:pos="9180"/>
      </w:tabs>
      <w:ind w:firstLine="360"/>
      <w:outlineLvl w:val="3"/>
    </w:pPr>
    <w:rPr>
      <w:i/>
      <w:szCs w:val="28"/>
    </w:rPr>
  </w:style>
  <w:style w:type="paragraph" w:styleId="Heading5">
    <w:name w:val="heading 5"/>
    <w:aliases w:val="do not use"/>
    <w:basedOn w:val="Normal"/>
    <w:next w:val="Normal"/>
    <w:link w:val="Heading5Char"/>
    <w:qFormat/>
    <w:rsid w:val="003A25EE"/>
    <w:pPr>
      <w:keepNext/>
      <w:tabs>
        <w:tab w:val="left" w:pos="360"/>
        <w:tab w:val="left" w:pos="990"/>
        <w:tab w:val="left" w:leader="dot" w:pos="8856"/>
      </w:tabs>
      <w:ind w:right="-360"/>
      <w:outlineLvl w:val="4"/>
    </w:pPr>
    <w:rPr>
      <w:rFonts w:ascii="Arial" w:hAnsi="Arial"/>
      <w:b/>
      <w:bCs/>
      <w:szCs w:val="40"/>
      <w:lang w:eastAsia="ja-JP"/>
    </w:rPr>
  </w:style>
  <w:style w:type="paragraph" w:styleId="Heading6">
    <w:name w:val="heading 6"/>
    <w:aliases w:val="do not use Heading 6"/>
    <w:basedOn w:val="Normal"/>
    <w:next w:val="Normal"/>
    <w:link w:val="Heading6Char"/>
    <w:qFormat/>
    <w:rsid w:val="003A25EE"/>
    <w:pPr>
      <w:keepNext/>
      <w:tabs>
        <w:tab w:val="left" w:pos="6030"/>
      </w:tabs>
      <w:spacing w:line="360" w:lineRule="auto"/>
      <w:ind w:left="1800"/>
      <w:outlineLvl w:val="5"/>
    </w:pPr>
    <w:rPr>
      <w:b/>
      <w:sz w:val="28"/>
      <w:lang w:eastAsia="ja-JP"/>
    </w:rPr>
  </w:style>
  <w:style w:type="paragraph" w:styleId="Heading7">
    <w:name w:val="heading 7"/>
    <w:aliases w:val="Do not use Heading 7"/>
    <w:basedOn w:val="Normal"/>
    <w:next w:val="Normal"/>
    <w:link w:val="Heading7Char"/>
    <w:qFormat/>
    <w:rsid w:val="003A25EE"/>
    <w:pPr>
      <w:keepNext/>
      <w:tabs>
        <w:tab w:val="left" w:pos="5400"/>
      </w:tabs>
      <w:ind w:left="2160"/>
      <w:outlineLvl w:val="6"/>
    </w:pPr>
    <w:rPr>
      <w:b/>
      <w:sz w:val="28"/>
      <w:lang w:eastAsia="ja-JP"/>
    </w:rPr>
  </w:style>
  <w:style w:type="paragraph" w:styleId="Heading8">
    <w:name w:val="heading 8"/>
    <w:aliases w:val="Do not use Heading 8"/>
    <w:basedOn w:val="Normal"/>
    <w:next w:val="Normal"/>
    <w:link w:val="Heading8Char"/>
    <w:qFormat/>
    <w:rsid w:val="003A25EE"/>
    <w:pPr>
      <w:keepNext/>
      <w:jc w:val="center"/>
      <w:outlineLvl w:val="7"/>
    </w:pPr>
    <w:rPr>
      <w:b/>
      <w:sz w:val="36"/>
      <w:lang w:eastAsia="ja-JP"/>
    </w:rPr>
  </w:style>
  <w:style w:type="paragraph" w:styleId="Heading9">
    <w:name w:val="heading 9"/>
    <w:aliases w:val="don't use Heading 9"/>
    <w:basedOn w:val="Normal"/>
    <w:next w:val="Normal"/>
    <w:link w:val="Heading9Char"/>
    <w:qFormat/>
    <w:rsid w:val="003A25EE"/>
    <w:pPr>
      <w:keepNext/>
      <w:tabs>
        <w:tab w:val="left" w:pos="3870"/>
        <w:tab w:val="left" w:pos="6030"/>
      </w:tabs>
      <w:spacing w:line="480" w:lineRule="auto"/>
      <w:ind w:left="1080"/>
      <w:outlineLvl w:val="8"/>
    </w:pPr>
    <w:rPr>
      <w:b/>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24425"/>
    <w:rPr>
      <w:rFonts w:ascii="Cambria" w:eastAsia="Times New Roman" w:hAnsi="Cambria"/>
      <w:b/>
      <w:bCs/>
      <w:kern w:val="32"/>
      <w:sz w:val="32"/>
      <w:szCs w:val="32"/>
    </w:rPr>
  </w:style>
  <w:style w:type="character" w:customStyle="1" w:styleId="Heading2Char">
    <w:name w:val="Heading 2 Char"/>
    <w:aliases w:val="Header 2 Char"/>
    <w:basedOn w:val="DefaultParagraphFont"/>
    <w:link w:val="Heading2"/>
    <w:locked/>
    <w:rsid w:val="009F6A81"/>
    <w:rPr>
      <w:rFonts w:ascii="Arial" w:hAnsi="Arial" w:cs="Arial"/>
      <w:color w:val="000000"/>
      <w:sz w:val="28"/>
      <w:szCs w:val="28"/>
    </w:rPr>
  </w:style>
  <w:style w:type="character" w:customStyle="1" w:styleId="Heading3Char">
    <w:name w:val="Heading 3 Char"/>
    <w:aliases w:val="Don't use Char"/>
    <w:basedOn w:val="DefaultParagraphFont"/>
    <w:link w:val="Heading3"/>
    <w:locked/>
    <w:rsid w:val="00D05949"/>
    <w:rPr>
      <w:rFonts w:ascii="Times New Roman" w:hAnsi="Times New Roman" w:cs="Times New Roman"/>
      <w:b/>
      <w:sz w:val="26"/>
    </w:rPr>
  </w:style>
  <w:style w:type="character" w:customStyle="1" w:styleId="Heading4Char">
    <w:name w:val="Heading 4 Char"/>
    <w:aliases w:val="Do not use Char"/>
    <w:basedOn w:val="DefaultParagraphFont"/>
    <w:link w:val="Heading4"/>
    <w:locked/>
    <w:rsid w:val="008E5EBA"/>
    <w:rPr>
      <w:rFonts w:eastAsia="Times New Roman" w:cs="Times New Roman"/>
      <w:i/>
      <w:sz w:val="28"/>
      <w:lang w:val="en-US" w:eastAsia="en-US"/>
    </w:rPr>
  </w:style>
  <w:style w:type="character" w:customStyle="1" w:styleId="Heading5Char">
    <w:name w:val="Heading 5 Char"/>
    <w:aliases w:val="do not use Char"/>
    <w:basedOn w:val="DefaultParagraphFont"/>
    <w:link w:val="Heading5"/>
    <w:locked/>
    <w:rsid w:val="00D05949"/>
    <w:rPr>
      <w:rFonts w:ascii="Arial" w:hAnsi="Arial" w:cs="Times New Roman"/>
      <w:b/>
      <w:sz w:val="40"/>
    </w:rPr>
  </w:style>
  <w:style w:type="character" w:customStyle="1" w:styleId="Heading6Char">
    <w:name w:val="Heading 6 Char"/>
    <w:aliases w:val="do not use Heading 6 Char"/>
    <w:basedOn w:val="DefaultParagraphFont"/>
    <w:link w:val="Heading6"/>
    <w:locked/>
    <w:rsid w:val="005655FF"/>
    <w:rPr>
      <w:rFonts w:ascii="Times New Roman" w:hAnsi="Times New Roman" w:cs="Times New Roman"/>
      <w:b/>
      <w:sz w:val="28"/>
    </w:rPr>
  </w:style>
  <w:style w:type="character" w:customStyle="1" w:styleId="Heading7Char">
    <w:name w:val="Heading 7 Char"/>
    <w:aliases w:val="Do not use Heading 7 Char"/>
    <w:basedOn w:val="DefaultParagraphFont"/>
    <w:link w:val="Heading7"/>
    <w:locked/>
    <w:rsid w:val="005655FF"/>
    <w:rPr>
      <w:rFonts w:ascii="Times New Roman" w:hAnsi="Times New Roman" w:cs="Times New Roman"/>
      <w:b/>
      <w:sz w:val="28"/>
    </w:rPr>
  </w:style>
  <w:style w:type="character" w:customStyle="1" w:styleId="Heading8Char">
    <w:name w:val="Heading 8 Char"/>
    <w:aliases w:val="Do not use Heading 8 Char"/>
    <w:basedOn w:val="DefaultParagraphFont"/>
    <w:link w:val="Heading8"/>
    <w:locked/>
    <w:rsid w:val="005655FF"/>
    <w:rPr>
      <w:rFonts w:ascii="Times New Roman" w:hAnsi="Times New Roman" w:cs="Times New Roman"/>
      <w:b/>
      <w:sz w:val="36"/>
    </w:rPr>
  </w:style>
  <w:style w:type="character" w:customStyle="1" w:styleId="Heading9Char">
    <w:name w:val="Heading 9 Char"/>
    <w:aliases w:val="don't use Heading 9 Char"/>
    <w:basedOn w:val="DefaultParagraphFont"/>
    <w:link w:val="Heading9"/>
    <w:locked/>
    <w:rsid w:val="005655FF"/>
    <w:rPr>
      <w:rFonts w:ascii="Times New Roman" w:hAnsi="Times New Roman" w:cs="Times New Roman"/>
      <w:b/>
      <w:sz w:val="28"/>
    </w:rPr>
  </w:style>
  <w:style w:type="table" w:styleId="TableGrid">
    <w:name w:val="Table Grid"/>
    <w:basedOn w:val="TableNormal"/>
    <w:uiPriority w:val="59"/>
    <w:rsid w:val="0005053D"/>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05053D"/>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styleId="BalloonText">
    <w:name w:val="Balloon Text"/>
    <w:basedOn w:val="Normal"/>
    <w:link w:val="BalloonTextChar"/>
    <w:unhideWhenUsed/>
    <w:locked/>
    <w:rsid w:val="0005053D"/>
    <w:rPr>
      <w:rFonts w:ascii="Tahoma" w:hAnsi="Tahoma" w:cs="Tahoma"/>
      <w:sz w:val="16"/>
      <w:szCs w:val="16"/>
    </w:rPr>
  </w:style>
  <w:style w:type="character" w:customStyle="1" w:styleId="BalloonTextChar">
    <w:name w:val="Balloon Text Char"/>
    <w:basedOn w:val="DefaultParagraphFont"/>
    <w:link w:val="BalloonText"/>
    <w:rsid w:val="0005053D"/>
    <w:rPr>
      <w:rFonts w:ascii="Tahoma" w:eastAsia="Times New Roman" w:hAnsi="Tahoma" w:cs="Tahoma"/>
      <w:sz w:val="16"/>
      <w:szCs w:val="16"/>
    </w:rPr>
  </w:style>
  <w:style w:type="paragraph" w:customStyle="1" w:styleId="Bullet1">
    <w:name w:val="Bullet1"/>
    <w:qFormat/>
    <w:rsid w:val="0005053D"/>
    <w:pPr>
      <w:numPr>
        <w:numId w:val="21"/>
      </w:numPr>
    </w:pPr>
    <w:rPr>
      <w:rFonts w:ascii="Times New Roman" w:eastAsia="Times New Roman" w:hAnsi="Times New Roman"/>
      <w:bCs/>
      <w:sz w:val="24"/>
      <w:szCs w:val="24"/>
    </w:rPr>
  </w:style>
  <w:style w:type="paragraph" w:customStyle="1" w:styleId="Bullet2">
    <w:name w:val="Bullet2"/>
    <w:qFormat/>
    <w:rsid w:val="0005053D"/>
    <w:pPr>
      <w:numPr>
        <w:ilvl w:val="1"/>
        <w:numId w:val="21"/>
      </w:numPr>
    </w:pPr>
    <w:rPr>
      <w:rFonts w:ascii="Times New Roman" w:eastAsia="Times New Roman" w:hAnsi="Times New Roman"/>
      <w:bCs/>
      <w:sz w:val="24"/>
      <w:szCs w:val="24"/>
    </w:rPr>
  </w:style>
  <w:style w:type="paragraph" w:customStyle="1" w:styleId="ChapterHeading">
    <w:name w:val="ChapterHeading"/>
    <w:qFormat/>
    <w:rsid w:val="0005053D"/>
    <w:pPr>
      <w:keepNext/>
      <w:spacing w:before="240" w:after="60"/>
      <w:jc w:val="center"/>
    </w:pPr>
    <w:rPr>
      <w:rFonts w:ascii="Arial" w:eastAsia="Times New Roman" w:hAnsi="Arial"/>
      <w:b/>
      <w:bCs/>
      <w:sz w:val="36"/>
      <w:szCs w:val="24"/>
    </w:rPr>
  </w:style>
  <w:style w:type="character" w:styleId="CommentReference">
    <w:name w:val="annotation reference"/>
    <w:basedOn w:val="DefaultParagraphFont"/>
    <w:locked/>
    <w:rsid w:val="0005053D"/>
    <w:rPr>
      <w:sz w:val="16"/>
      <w:szCs w:val="16"/>
    </w:rPr>
  </w:style>
  <w:style w:type="paragraph" w:styleId="CommentText">
    <w:name w:val="annotation text"/>
    <w:basedOn w:val="Normal"/>
    <w:link w:val="CommentTextChar"/>
    <w:locked/>
    <w:rsid w:val="0005053D"/>
    <w:pPr>
      <w:spacing w:before="240" w:after="60"/>
    </w:pPr>
    <w:rPr>
      <w:rFonts w:ascii="Calibri" w:eastAsia="Calibri" w:hAnsi="Calibri"/>
      <w:sz w:val="20"/>
    </w:rPr>
  </w:style>
  <w:style w:type="character" w:customStyle="1" w:styleId="CommentTextChar">
    <w:name w:val="Comment Text Char"/>
    <w:basedOn w:val="DefaultParagraphFont"/>
    <w:link w:val="CommentText"/>
    <w:rsid w:val="0005053D"/>
    <w:rPr>
      <w:rFonts w:ascii="Calibri" w:eastAsia="Calibri" w:hAnsi="Calibri"/>
    </w:rPr>
  </w:style>
  <w:style w:type="paragraph" w:styleId="CommentSubject">
    <w:name w:val="annotation subject"/>
    <w:basedOn w:val="CommentText"/>
    <w:next w:val="CommentText"/>
    <w:link w:val="CommentSubjectChar"/>
    <w:locked/>
    <w:rsid w:val="0005053D"/>
    <w:rPr>
      <w:b/>
      <w:bCs/>
    </w:rPr>
  </w:style>
  <w:style w:type="character" w:customStyle="1" w:styleId="CommentSubjectChar">
    <w:name w:val="Comment Subject Char"/>
    <w:basedOn w:val="CommentTextChar"/>
    <w:link w:val="CommentSubject"/>
    <w:rsid w:val="0005053D"/>
    <w:rPr>
      <w:b/>
      <w:bCs/>
    </w:rPr>
  </w:style>
  <w:style w:type="paragraph" w:customStyle="1" w:styleId="Contents">
    <w:name w:val="Contents"/>
    <w:qFormat/>
    <w:rsid w:val="0005053D"/>
    <w:pPr>
      <w:keepNext/>
      <w:jc w:val="center"/>
    </w:pPr>
    <w:rPr>
      <w:rFonts w:ascii="Arial" w:eastAsia="Calibri" w:hAnsi="Arial" w:cs="Arial"/>
      <w:b/>
      <w:sz w:val="36"/>
      <w:szCs w:val="32"/>
    </w:rPr>
  </w:style>
  <w:style w:type="paragraph" w:customStyle="1" w:styleId="ContentsSubhead">
    <w:name w:val="ContentsSubhead"/>
    <w:qFormat/>
    <w:rsid w:val="0005053D"/>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05053D"/>
    <w:rPr>
      <w:rFonts w:ascii="Times New Roman" w:eastAsia="Times New Roman" w:hAnsi="Times New Roman"/>
      <w:b/>
      <w:bCs/>
      <w:sz w:val="24"/>
      <w:szCs w:val="24"/>
    </w:rPr>
  </w:style>
  <w:style w:type="paragraph" w:styleId="Footer">
    <w:name w:val="footer"/>
    <w:aliases w:val="Footnote"/>
    <w:basedOn w:val="Normal"/>
    <w:link w:val="FooterChar"/>
    <w:uiPriority w:val="99"/>
    <w:unhideWhenUsed/>
    <w:locked/>
    <w:rsid w:val="0005053D"/>
    <w:pPr>
      <w:tabs>
        <w:tab w:val="center" w:pos="4680"/>
        <w:tab w:val="right" w:pos="9360"/>
      </w:tabs>
      <w:spacing w:before="240" w:after="60"/>
    </w:pPr>
    <w:rPr>
      <w:rFonts w:ascii="Calibri" w:eastAsia="Calibri" w:hAnsi="Calibri"/>
      <w:sz w:val="22"/>
      <w:szCs w:val="22"/>
    </w:rPr>
  </w:style>
  <w:style w:type="character" w:customStyle="1" w:styleId="FooterChar">
    <w:name w:val="Footer Char"/>
    <w:aliases w:val="Footnote Char"/>
    <w:basedOn w:val="DefaultParagraphFont"/>
    <w:link w:val="Footer"/>
    <w:uiPriority w:val="99"/>
    <w:rsid w:val="0005053D"/>
    <w:rPr>
      <w:rFonts w:ascii="Calibri" w:eastAsia="Calibri" w:hAnsi="Calibri"/>
      <w:sz w:val="22"/>
      <w:szCs w:val="22"/>
    </w:rPr>
  </w:style>
  <w:style w:type="paragraph" w:customStyle="1" w:styleId="FrontMatterHead">
    <w:name w:val="FrontMatterHead"/>
    <w:qFormat/>
    <w:rsid w:val="0005053D"/>
    <w:pPr>
      <w:keepNext/>
      <w:spacing w:before="240" w:after="60"/>
    </w:pPr>
    <w:rPr>
      <w:rFonts w:ascii="Arial" w:eastAsia="Calibri" w:hAnsi="Arial" w:cs="Arial"/>
      <w:b/>
      <w:sz w:val="32"/>
      <w:szCs w:val="32"/>
    </w:rPr>
  </w:style>
  <w:style w:type="paragraph" w:styleId="Header">
    <w:name w:val="header"/>
    <w:basedOn w:val="Normal"/>
    <w:link w:val="HeaderChar"/>
    <w:unhideWhenUsed/>
    <w:locked/>
    <w:rsid w:val="0005053D"/>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rsid w:val="0005053D"/>
    <w:rPr>
      <w:rFonts w:ascii="Calibri" w:eastAsia="Calibri" w:hAnsi="Calibri"/>
      <w:sz w:val="22"/>
      <w:szCs w:val="22"/>
    </w:rPr>
  </w:style>
  <w:style w:type="character" w:styleId="Hyperlink">
    <w:name w:val="Hyperlink"/>
    <w:basedOn w:val="DefaultParagraphFont"/>
    <w:unhideWhenUsed/>
    <w:locked/>
    <w:rsid w:val="0005053D"/>
    <w:rPr>
      <w:color w:val="0000FF" w:themeColor="hyperlink"/>
      <w:u w:val="single"/>
    </w:rPr>
  </w:style>
  <w:style w:type="paragraph" w:customStyle="1" w:styleId="Investigators">
    <w:name w:val="Investigators"/>
    <w:qFormat/>
    <w:rsid w:val="0005053D"/>
    <w:rPr>
      <w:rFonts w:ascii="Times New Roman" w:eastAsia="Times New Roman" w:hAnsi="Times New Roman"/>
      <w:bCs/>
      <w:sz w:val="24"/>
      <w:szCs w:val="24"/>
    </w:rPr>
  </w:style>
  <w:style w:type="paragraph" w:customStyle="1" w:styleId="KeyQuestion">
    <w:name w:val="KeyQuestion"/>
    <w:rsid w:val="0005053D"/>
    <w:pPr>
      <w:keepNext/>
      <w:spacing w:before="120" w:after="120"/>
    </w:pPr>
    <w:rPr>
      <w:rFonts w:ascii="Arial" w:eastAsia="Times New Roman" w:hAnsi="Arial" w:cs="Arial"/>
      <w:iCs/>
      <w:kern w:val="32"/>
      <w:sz w:val="28"/>
      <w:szCs w:val="28"/>
    </w:rPr>
  </w:style>
  <w:style w:type="paragraph" w:customStyle="1" w:styleId="Level1Heading">
    <w:name w:val="Level1Heading"/>
    <w:qFormat/>
    <w:rsid w:val="0005053D"/>
    <w:pPr>
      <w:keepNext/>
      <w:spacing w:before="240" w:after="60"/>
    </w:pPr>
    <w:rPr>
      <w:rFonts w:ascii="Arial" w:eastAsia="Times New Roman" w:hAnsi="Arial"/>
      <w:b/>
      <w:bCs/>
      <w:sz w:val="32"/>
      <w:szCs w:val="24"/>
    </w:rPr>
  </w:style>
  <w:style w:type="paragraph" w:customStyle="1" w:styleId="Level2Heading">
    <w:name w:val="Level2Heading"/>
    <w:qFormat/>
    <w:rsid w:val="0005053D"/>
    <w:pPr>
      <w:keepNext/>
      <w:spacing w:before="240" w:after="60"/>
    </w:pPr>
    <w:rPr>
      <w:rFonts w:ascii="Times New Roman" w:eastAsia="Times New Roman" w:hAnsi="Times New Roman"/>
      <w:b/>
      <w:bCs/>
      <w:sz w:val="32"/>
      <w:szCs w:val="24"/>
    </w:rPr>
  </w:style>
  <w:style w:type="paragraph" w:customStyle="1" w:styleId="Level3Heading">
    <w:name w:val="Level3Heading"/>
    <w:qFormat/>
    <w:rsid w:val="0005053D"/>
    <w:pPr>
      <w:keepNext/>
      <w:spacing w:before="240"/>
    </w:pPr>
    <w:rPr>
      <w:rFonts w:ascii="Arial" w:eastAsia="Times New Roman" w:hAnsi="Arial"/>
      <w:b/>
      <w:bCs/>
      <w:sz w:val="28"/>
      <w:szCs w:val="24"/>
    </w:rPr>
  </w:style>
  <w:style w:type="paragraph" w:customStyle="1" w:styleId="Level4Heading">
    <w:name w:val="Level4Heading"/>
    <w:qFormat/>
    <w:rsid w:val="0005053D"/>
    <w:pPr>
      <w:keepNext/>
      <w:spacing w:before="240"/>
    </w:pPr>
    <w:rPr>
      <w:rFonts w:ascii="Times New Roman" w:eastAsia="Times New Roman" w:hAnsi="Times New Roman"/>
      <w:b/>
      <w:bCs/>
      <w:sz w:val="28"/>
      <w:szCs w:val="24"/>
    </w:rPr>
  </w:style>
  <w:style w:type="paragraph" w:customStyle="1" w:styleId="Level5Heading">
    <w:name w:val="Level5Heading"/>
    <w:qFormat/>
    <w:rsid w:val="0005053D"/>
    <w:pPr>
      <w:keepNext/>
      <w:spacing w:before="240"/>
    </w:pPr>
    <w:rPr>
      <w:rFonts w:ascii="Arial" w:eastAsia="Times New Roman" w:hAnsi="Arial"/>
      <w:b/>
      <w:bCs/>
      <w:sz w:val="24"/>
      <w:szCs w:val="24"/>
    </w:rPr>
  </w:style>
  <w:style w:type="paragraph" w:customStyle="1" w:styleId="Level6Heading">
    <w:name w:val="Level6Heading"/>
    <w:qFormat/>
    <w:rsid w:val="0005053D"/>
    <w:pPr>
      <w:keepNext/>
      <w:spacing w:before="240"/>
    </w:pPr>
    <w:rPr>
      <w:rFonts w:ascii="Times New Roman" w:eastAsia="Times New Roman" w:hAnsi="Times New Roman"/>
      <w:b/>
      <w:bCs/>
      <w:sz w:val="24"/>
      <w:szCs w:val="24"/>
    </w:rPr>
  </w:style>
  <w:style w:type="paragraph" w:customStyle="1" w:styleId="Level7Heading">
    <w:name w:val="Level7Heading"/>
    <w:qFormat/>
    <w:rsid w:val="0005053D"/>
    <w:pPr>
      <w:keepNext/>
    </w:pPr>
    <w:rPr>
      <w:rFonts w:ascii="Times New Roman" w:eastAsia="Calibri" w:hAnsi="Times New Roman"/>
      <w:b/>
      <w:color w:val="000000"/>
      <w:sz w:val="24"/>
      <w:szCs w:val="24"/>
    </w:rPr>
  </w:style>
  <w:style w:type="paragraph" w:customStyle="1" w:styleId="Level8Heading">
    <w:name w:val="Level8Heading"/>
    <w:qFormat/>
    <w:rsid w:val="0005053D"/>
    <w:pPr>
      <w:keepNext/>
    </w:pPr>
    <w:rPr>
      <w:rFonts w:ascii="Times New Roman" w:eastAsia="Times New Roman" w:hAnsi="Times New Roman"/>
      <w:bCs/>
      <w:i/>
      <w:sz w:val="24"/>
      <w:szCs w:val="24"/>
    </w:rPr>
  </w:style>
  <w:style w:type="paragraph" w:styleId="NormalWeb">
    <w:name w:val="Normal (Web)"/>
    <w:basedOn w:val="Normal"/>
    <w:locked/>
    <w:rsid w:val="0005053D"/>
    <w:pPr>
      <w:spacing w:before="100" w:beforeAutospacing="1" w:after="100" w:afterAutospacing="1"/>
    </w:pPr>
    <w:rPr>
      <w:rFonts w:ascii="Times New Roman" w:hAnsi="Times New Roman"/>
      <w:szCs w:val="24"/>
    </w:rPr>
  </w:style>
  <w:style w:type="paragraph" w:customStyle="1" w:styleId="NumberLine">
    <w:name w:val="NumberLine"/>
    <w:qFormat/>
    <w:rsid w:val="0005053D"/>
    <w:rPr>
      <w:rFonts w:ascii="Arial" w:eastAsia="Times New Roman" w:hAnsi="Arial"/>
      <w:b/>
      <w:bCs/>
      <w:sz w:val="28"/>
      <w:szCs w:val="28"/>
    </w:rPr>
  </w:style>
  <w:style w:type="paragraph" w:customStyle="1" w:styleId="NumberLineCover">
    <w:name w:val="NumberLineCover"/>
    <w:qFormat/>
    <w:rsid w:val="0005053D"/>
    <w:rPr>
      <w:rFonts w:ascii="Times New Roman" w:eastAsia="Times New Roman" w:hAnsi="Times New Roman"/>
      <w:bCs/>
      <w:sz w:val="28"/>
      <w:szCs w:val="28"/>
    </w:rPr>
  </w:style>
  <w:style w:type="paragraph" w:customStyle="1" w:styleId="PageNumber">
    <w:name w:val="PageNumber"/>
    <w:qFormat/>
    <w:rsid w:val="0005053D"/>
    <w:pPr>
      <w:jc w:val="center"/>
    </w:pPr>
    <w:rPr>
      <w:rFonts w:ascii="Times New Roman" w:eastAsia="Calibri" w:hAnsi="Times New Roman"/>
      <w:sz w:val="24"/>
      <w:szCs w:val="24"/>
    </w:rPr>
  </w:style>
  <w:style w:type="paragraph" w:customStyle="1" w:styleId="ParagraphIndent">
    <w:name w:val="ParagraphIndent"/>
    <w:qFormat/>
    <w:rsid w:val="0005053D"/>
    <w:pPr>
      <w:ind w:firstLine="360"/>
    </w:pPr>
    <w:rPr>
      <w:rFonts w:ascii="Times New Roman" w:eastAsia="Calibri" w:hAnsi="Times New Roman"/>
      <w:color w:val="000000"/>
      <w:sz w:val="24"/>
      <w:szCs w:val="24"/>
    </w:rPr>
  </w:style>
  <w:style w:type="paragraph" w:customStyle="1" w:styleId="ParagraphNoIndent">
    <w:name w:val="ParagraphNoIndent"/>
    <w:qFormat/>
    <w:rsid w:val="0005053D"/>
    <w:rPr>
      <w:rFonts w:ascii="Times New Roman" w:eastAsia="Times New Roman" w:hAnsi="Times New Roman"/>
      <w:bCs/>
      <w:sz w:val="24"/>
      <w:szCs w:val="24"/>
    </w:rPr>
  </w:style>
  <w:style w:type="paragraph" w:customStyle="1" w:styleId="ParagraphNoIndentBold">
    <w:name w:val="ParagraphNoIndentBold"/>
    <w:qFormat/>
    <w:rsid w:val="0005053D"/>
    <w:rPr>
      <w:rFonts w:ascii="Times New Roman" w:eastAsia="Times New Roman" w:hAnsi="Times New Roman"/>
      <w:b/>
      <w:bCs/>
      <w:sz w:val="24"/>
      <w:szCs w:val="24"/>
    </w:rPr>
  </w:style>
  <w:style w:type="paragraph" w:customStyle="1" w:styleId="PreparedByText">
    <w:name w:val="PreparedByText"/>
    <w:qFormat/>
    <w:rsid w:val="0005053D"/>
    <w:rPr>
      <w:rFonts w:ascii="Times New Roman" w:eastAsia="Times New Roman" w:hAnsi="Times New Roman"/>
      <w:bCs/>
      <w:sz w:val="24"/>
      <w:szCs w:val="24"/>
    </w:rPr>
  </w:style>
  <w:style w:type="paragraph" w:customStyle="1" w:styleId="PreparedForText">
    <w:name w:val="PreparedForText"/>
    <w:qFormat/>
    <w:rsid w:val="0005053D"/>
    <w:rPr>
      <w:rFonts w:ascii="Times New Roman" w:eastAsia="Times New Roman" w:hAnsi="Times New Roman"/>
      <w:bCs/>
      <w:sz w:val="24"/>
      <w:szCs w:val="24"/>
    </w:rPr>
  </w:style>
  <w:style w:type="paragraph" w:customStyle="1" w:styleId="PublicationNumberDate">
    <w:name w:val="PublicationNumberDate"/>
    <w:qFormat/>
    <w:rsid w:val="0005053D"/>
    <w:rPr>
      <w:rFonts w:ascii="Times New Roman" w:eastAsia="Times New Roman" w:hAnsi="Times New Roman"/>
      <w:b/>
      <w:bCs/>
      <w:sz w:val="24"/>
      <w:szCs w:val="24"/>
    </w:rPr>
  </w:style>
  <w:style w:type="paragraph" w:customStyle="1" w:styleId="Reference">
    <w:name w:val="Reference"/>
    <w:qFormat/>
    <w:rsid w:val="0005053D"/>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05053D"/>
    <w:rPr>
      <w:rFonts w:ascii="Arial" w:eastAsia="Times New Roman" w:hAnsi="Arial"/>
      <w:b/>
      <w:bCs/>
      <w:sz w:val="24"/>
      <w:szCs w:val="24"/>
    </w:rPr>
  </w:style>
  <w:style w:type="paragraph" w:customStyle="1" w:styleId="ReportTitle">
    <w:name w:val="ReportTitle"/>
    <w:uiPriority w:val="99"/>
    <w:qFormat/>
    <w:rsid w:val="0005053D"/>
    <w:rPr>
      <w:rFonts w:ascii="Arial" w:eastAsia="Times New Roman" w:hAnsi="Arial"/>
      <w:b/>
      <w:bCs/>
      <w:sz w:val="36"/>
      <w:szCs w:val="36"/>
    </w:rPr>
  </w:style>
  <w:style w:type="paragraph" w:customStyle="1" w:styleId="ReportType">
    <w:name w:val="ReportType"/>
    <w:qFormat/>
    <w:rsid w:val="0005053D"/>
    <w:rPr>
      <w:rFonts w:ascii="Times New Roman" w:eastAsia="Times New Roman" w:hAnsi="Times New Roman"/>
      <w:b/>
      <w:bCs/>
      <w:i/>
      <w:sz w:val="36"/>
      <w:szCs w:val="36"/>
    </w:rPr>
  </w:style>
  <w:style w:type="paragraph" w:customStyle="1" w:styleId="ReportTypeCover">
    <w:name w:val="ReportTypeCover"/>
    <w:qFormat/>
    <w:rsid w:val="0005053D"/>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05053D"/>
    <w:pPr>
      <w:keepLines/>
      <w:spacing w:before="120" w:after="120"/>
    </w:pPr>
    <w:rPr>
      <w:rFonts w:ascii="Times New Roman" w:eastAsia="Calibri" w:hAnsi="Times New Roman" w:cs="Arial"/>
      <w:color w:val="000000" w:themeColor="text1"/>
      <w:sz w:val="24"/>
      <w:szCs w:val="32"/>
    </w:rPr>
  </w:style>
  <w:style w:type="paragraph" w:customStyle="1" w:styleId="Studies2">
    <w:name w:val="Studies2"/>
    <w:qFormat/>
    <w:rsid w:val="0005053D"/>
    <w:pPr>
      <w:keepLines/>
      <w:numPr>
        <w:numId w:val="22"/>
      </w:numPr>
      <w:spacing w:before="120" w:after="120"/>
    </w:pPr>
    <w:rPr>
      <w:rFonts w:ascii="Times New Roman" w:hAnsi="Times New Roman"/>
      <w:color w:val="000000" w:themeColor="text1"/>
      <w:sz w:val="24"/>
      <w:szCs w:val="24"/>
    </w:rPr>
  </w:style>
  <w:style w:type="paragraph" w:customStyle="1" w:styleId="SuggestedCitation">
    <w:name w:val="SuggestedCitation"/>
    <w:qFormat/>
    <w:rsid w:val="0005053D"/>
    <w:rPr>
      <w:rFonts w:ascii="Times New Roman" w:eastAsia="Times New Roman" w:hAnsi="Times New Roman"/>
      <w:bCs/>
      <w:sz w:val="24"/>
      <w:szCs w:val="24"/>
    </w:rPr>
  </w:style>
  <w:style w:type="paragraph" w:customStyle="1" w:styleId="TableBoldText">
    <w:name w:val="TableBoldText"/>
    <w:qFormat/>
    <w:rsid w:val="0005053D"/>
    <w:rPr>
      <w:rFonts w:ascii="Arial" w:eastAsia="Calibri" w:hAnsi="Arial" w:cs="Arial"/>
      <w:b/>
      <w:sz w:val="18"/>
      <w:szCs w:val="18"/>
    </w:rPr>
  </w:style>
  <w:style w:type="paragraph" w:customStyle="1" w:styleId="TableCenteredText">
    <w:name w:val="TableCenteredText"/>
    <w:qFormat/>
    <w:rsid w:val="0005053D"/>
    <w:pPr>
      <w:jc w:val="center"/>
    </w:pPr>
    <w:rPr>
      <w:rFonts w:ascii="Arial" w:eastAsia="Calibri" w:hAnsi="Arial" w:cs="Arial"/>
      <w:sz w:val="18"/>
      <w:szCs w:val="18"/>
    </w:rPr>
  </w:style>
  <w:style w:type="paragraph" w:customStyle="1" w:styleId="TableColumnHead">
    <w:name w:val="TableColumnHead"/>
    <w:qFormat/>
    <w:rsid w:val="0005053D"/>
    <w:pPr>
      <w:jc w:val="center"/>
    </w:pPr>
    <w:rPr>
      <w:rFonts w:ascii="Arial" w:eastAsia="Calibri" w:hAnsi="Arial" w:cs="Arial"/>
      <w:b/>
      <w:bCs/>
      <w:sz w:val="18"/>
      <w:szCs w:val="18"/>
    </w:rPr>
  </w:style>
  <w:style w:type="paragraph" w:customStyle="1" w:styleId="TableLeftText">
    <w:name w:val="TableLeftText"/>
    <w:qFormat/>
    <w:rsid w:val="0005053D"/>
    <w:rPr>
      <w:rFonts w:ascii="Arial" w:eastAsia="Calibri" w:hAnsi="Arial" w:cs="Arial"/>
      <w:sz w:val="18"/>
      <w:szCs w:val="18"/>
    </w:rPr>
  </w:style>
  <w:style w:type="paragraph" w:customStyle="1" w:styleId="TableNote">
    <w:name w:val="TableNote"/>
    <w:qFormat/>
    <w:rsid w:val="0005053D"/>
    <w:pPr>
      <w:spacing w:after="240"/>
    </w:pPr>
    <w:rPr>
      <w:rFonts w:ascii="Times New Roman" w:eastAsia="Times New Roman" w:hAnsi="Times New Roman"/>
      <w:bCs/>
      <w:sz w:val="18"/>
      <w:szCs w:val="24"/>
    </w:rPr>
  </w:style>
  <w:style w:type="paragraph" w:customStyle="1" w:styleId="TableSubhead">
    <w:name w:val="TableSubhead"/>
    <w:qFormat/>
    <w:rsid w:val="0005053D"/>
    <w:rPr>
      <w:rFonts w:ascii="Arial" w:eastAsia="Calibri" w:hAnsi="Arial" w:cs="Arial"/>
      <w:b/>
      <w:i/>
      <w:sz w:val="18"/>
      <w:szCs w:val="18"/>
    </w:rPr>
  </w:style>
  <w:style w:type="paragraph" w:customStyle="1" w:styleId="TableText">
    <w:name w:val="TableText"/>
    <w:qFormat/>
    <w:rsid w:val="0005053D"/>
    <w:rPr>
      <w:rFonts w:ascii="Arial" w:eastAsia="Calibri" w:hAnsi="Arial" w:cs="Arial"/>
      <w:sz w:val="18"/>
      <w:szCs w:val="18"/>
    </w:rPr>
  </w:style>
  <w:style w:type="paragraph" w:customStyle="1" w:styleId="TableTitle">
    <w:name w:val="TableTitle"/>
    <w:qFormat/>
    <w:rsid w:val="0005053D"/>
    <w:pPr>
      <w:keepNext/>
      <w:spacing w:before="240"/>
    </w:pPr>
    <w:rPr>
      <w:rFonts w:ascii="Arial" w:eastAsia="Calibri" w:hAnsi="Arial"/>
      <w:b/>
      <w:color w:val="000000"/>
      <w:szCs w:val="24"/>
    </w:rPr>
  </w:style>
  <w:style w:type="paragraph" w:styleId="TOC1">
    <w:name w:val="toc 1"/>
    <w:basedOn w:val="Normal"/>
    <w:next w:val="Normal"/>
    <w:autoRedefine/>
    <w:qFormat/>
    <w:rsid w:val="0005053D"/>
    <w:rPr>
      <w:rFonts w:ascii="Times New Roman" w:hAnsi="Times New Roman"/>
      <w:szCs w:val="24"/>
      <w:lang w:val="en-CA"/>
    </w:rPr>
  </w:style>
  <w:style w:type="paragraph" w:styleId="TOC2">
    <w:name w:val="toc 2"/>
    <w:basedOn w:val="Normal"/>
    <w:next w:val="Normal"/>
    <w:autoRedefine/>
    <w:qFormat/>
    <w:rsid w:val="0005053D"/>
    <w:pPr>
      <w:ind w:left="240"/>
    </w:pPr>
    <w:rPr>
      <w:rFonts w:ascii="Times New Roman" w:hAnsi="Times New Roman"/>
      <w:szCs w:val="24"/>
      <w:lang w:val="en-CA"/>
    </w:rPr>
  </w:style>
  <w:style w:type="paragraph" w:customStyle="1" w:styleId="ColorfulShading-Accent11">
    <w:name w:val="Colorful Shading - Accent 11"/>
    <w:hidden/>
    <w:uiPriority w:val="99"/>
    <w:semiHidden/>
    <w:rsid w:val="000B18DD"/>
    <w:rPr>
      <w:rFonts w:ascii="Times New Roman" w:hAnsi="Times New Roman"/>
      <w:sz w:val="24"/>
    </w:rPr>
  </w:style>
  <w:style w:type="paragraph" w:customStyle="1" w:styleId="ColorfulShading-Accent12">
    <w:name w:val="Colorful Shading - Accent 12"/>
    <w:hidden/>
    <w:uiPriority w:val="99"/>
    <w:semiHidden/>
    <w:rsid w:val="001F3B96"/>
    <w:rPr>
      <w:rFonts w:ascii="Times New Roman" w:hAnsi="Times New Roman"/>
      <w:sz w:val="24"/>
    </w:rPr>
  </w:style>
  <w:style w:type="character" w:customStyle="1" w:styleId="Heading1Char1">
    <w:name w:val="Heading 1 Char1"/>
    <w:aliases w:val="Heading 1 Char Char"/>
    <w:basedOn w:val="DefaultParagraphFont"/>
    <w:locked/>
    <w:rsid w:val="00CF127C"/>
    <w:rPr>
      <w:rFonts w:ascii="Arial" w:eastAsia="Times" w:hAnsi="Arial"/>
      <w:b/>
      <w:sz w:val="32"/>
      <w:lang w:val="en-US" w:eastAsia="en-US" w:bidi="ar-SA"/>
    </w:rPr>
  </w:style>
  <w:style w:type="paragraph" w:styleId="BodyText">
    <w:name w:val="Body Text"/>
    <w:aliases w:val="1st line flush left"/>
    <w:basedOn w:val="Normal"/>
    <w:link w:val="BodyTextChar"/>
    <w:unhideWhenUsed/>
    <w:locked/>
    <w:rsid w:val="00CF127C"/>
    <w:pPr>
      <w:spacing w:after="120"/>
    </w:pPr>
  </w:style>
  <w:style w:type="character" w:customStyle="1" w:styleId="BodyTextChar">
    <w:name w:val="Body Text Char"/>
    <w:aliases w:val="1st line flush left Char"/>
    <w:basedOn w:val="DefaultParagraphFont"/>
    <w:link w:val="BodyText"/>
    <w:rsid w:val="00CF127C"/>
    <w:rPr>
      <w:rFonts w:eastAsia="Times New Roman"/>
      <w:sz w:val="24"/>
    </w:rPr>
  </w:style>
  <w:style w:type="paragraph" w:styleId="BodyTextFirstIndent">
    <w:name w:val="Body Text First Indent"/>
    <w:basedOn w:val="BodyText"/>
    <w:link w:val="BodyTextFirstIndentChar"/>
    <w:locked/>
    <w:rsid w:val="00CF127C"/>
    <w:pPr>
      <w:spacing w:after="0"/>
      <w:ind w:firstLine="360"/>
      <w:contextualSpacing/>
    </w:pPr>
    <w:rPr>
      <w:rFonts w:ascii="Times New Roman" w:eastAsia="Times" w:hAnsi="Times New Roman"/>
    </w:rPr>
  </w:style>
  <w:style w:type="character" w:customStyle="1" w:styleId="BodyTextFirstIndentChar">
    <w:name w:val="Body Text First Indent Char"/>
    <w:basedOn w:val="BodyTextChar"/>
    <w:link w:val="BodyTextFirstIndent"/>
    <w:rsid w:val="00CF127C"/>
    <w:rPr>
      <w:rFonts w:ascii="Times New Roman" w:hAnsi="Times New Roman"/>
    </w:rPr>
  </w:style>
  <w:style w:type="character" w:customStyle="1" w:styleId="Heading7Char1">
    <w:name w:val="Heading 7 Char1"/>
    <w:aliases w:val="Do not use Heading 7 Char1"/>
    <w:rsid w:val="00CF127C"/>
    <w:rPr>
      <w:rFonts w:eastAsia="Times"/>
      <w:b/>
      <w:sz w:val="28"/>
      <w:lang w:val="en-US" w:eastAsia="en-US" w:bidi="ar-SA"/>
    </w:rPr>
  </w:style>
  <w:style w:type="paragraph" w:customStyle="1" w:styleId="TitlePageReportNumber">
    <w:name w:val="Title Page Report Number"/>
    <w:basedOn w:val="Normal"/>
    <w:rsid w:val="00CF127C"/>
    <w:rPr>
      <w:rFonts w:ascii="Arial" w:eastAsia="Times" w:hAnsi="Arial"/>
      <w:b/>
      <w:sz w:val="28"/>
    </w:rPr>
  </w:style>
  <w:style w:type="paragraph" w:customStyle="1" w:styleId="ReportTitle0">
    <w:name w:val="Report Title"/>
    <w:basedOn w:val="Normal"/>
    <w:rsid w:val="00CF127C"/>
    <w:rPr>
      <w:rFonts w:ascii="Arial" w:eastAsia="Times" w:hAnsi="Arial" w:cs="Arial"/>
      <w:b/>
      <w:sz w:val="36"/>
      <w:szCs w:val="36"/>
    </w:rPr>
  </w:style>
  <w:style w:type="paragraph" w:customStyle="1" w:styleId="TableHeading">
    <w:name w:val="Table Heading"/>
    <w:basedOn w:val="Normal"/>
    <w:link w:val="TableHeadingCharChar"/>
    <w:rsid w:val="00CF127C"/>
    <w:pPr>
      <w:keepNext/>
    </w:pPr>
    <w:rPr>
      <w:rFonts w:ascii="Arial" w:eastAsia="Times" w:hAnsi="Arial" w:cs="Arial"/>
      <w:b/>
      <w:sz w:val="20"/>
      <w:szCs w:val="36"/>
    </w:rPr>
  </w:style>
  <w:style w:type="character" w:customStyle="1" w:styleId="TableHeadingCharChar">
    <w:name w:val="Table Heading Char Char"/>
    <w:link w:val="TableHeading"/>
    <w:rsid w:val="00CF127C"/>
    <w:rPr>
      <w:rFonts w:ascii="Arial" w:hAnsi="Arial" w:cs="Arial"/>
      <w:b/>
      <w:szCs w:val="36"/>
    </w:rPr>
  </w:style>
  <w:style w:type="paragraph" w:customStyle="1" w:styleId="indentednumberedlist">
    <w:name w:val="indented numbered list"/>
    <w:basedOn w:val="Normal"/>
    <w:rsid w:val="00CF127C"/>
    <w:pPr>
      <w:shd w:val="clear" w:color="auto" w:fill="FFFFFF"/>
      <w:spacing w:line="360" w:lineRule="atLeast"/>
      <w:ind w:left="720" w:hanging="360"/>
    </w:pPr>
    <w:rPr>
      <w:rFonts w:ascii="Arial" w:hAnsi="Arial" w:cs="Arial"/>
      <w:sz w:val="19"/>
      <w:szCs w:val="19"/>
    </w:rPr>
  </w:style>
  <w:style w:type="paragraph" w:customStyle="1" w:styleId="ChapterHeading0">
    <w:name w:val="Chapter Heading"/>
    <w:next w:val="BodyTextFirstIndent"/>
    <w:rsid w:val="00CF127C"/>
    <w:pPr>
      <w:spacing w:after="60"/>
      <w:jc w:val="center"/>
    </w:pPr>
    <w:rPr>
      <w:rFonts w:ascii="Arial" w:eastAsia="Times New Roman" w:hAnsi="Arial" w:cs="Arial"/>
      <w:b/>
      <w:bCs/>
      <w:color w:val="000000"/>
      <w:sz w:val="36"/>
      <w:szCs w:val="36"/>
    </w:rPr>
  </w:style>
  <w:style w:type="paragraph" w:customStyle="1" w:styleId="Header1">
    <w:name w:val="Header 1"/>
    <w:link w:val="Header1Char"/>
    <w:autoRedefine/>
    <w:qFormat/>
    <w:rsid w:val="00CF127C"/>
    <w:pPr>
      <w:keepNext/>
      <w:spacing w:before="240" w:after="60"/>
    </w:pPr>
    <w:rPr>
      <w:rFonts w:ascii="Arial" w:eastAsia="Times New Roman" w:hAnsi="Arial" w:cs="Arial"/>
      <w:b/>
      <w:bCs/>
      <w:color w:val="000000"/>
      <w:sz w:val="32"/>
      <w:szCs w:val="36"/>
    </w:rPr>
  </w:style>
  <w:style w:type="character" w:customStyle="1" w:styleId="Header1Char">
    <w:name w:val="Header 1 Char"/>
    <w:link w:val="Header1"/>
    <w:rsid w:val="00CF127C"/>
    <w:rPr>
      <w:rFonts w:ascii="Arial" w:eastAsia="Times New Roman" w:hAnsi="Arial" w:cs="Arial"/>
      <w:b/>
      <w:bCs/>
      <w:color w:val="000000"/>
      <w:sz w:val="32"/>
      <w:szCs w:val="36"/>
    </w:rPr>
  </w:style>
  <w:style w:type="paragraph" w:customStyle="1" w:styleId="Bullet3">
    <w:name w:val="Bullet3"/>
    <w:qFormat/>
    <w:rsid w:val="00CF127C"/>
    <w:pPr>
      <w:ind w:left="1440" w:hanging="360"/>
    </w:pPr>
    <w:rPr>
      <w:rFonts w:ascii="Times New Roman" w:hAnsi="Times New Roman"/>
      <w:sz w:val="24"/>
    </w:rPr>
  </w:style>
  <w:style w:type="paragraph" w:styleId="FootnoteText">
    <w:name w:val="footnote text"/>
    <w:basedOn w:val="Normal"/>
    <w:link w:val="FootnoteTextChar"/>
    <w:locked/>
    <w:rsid w:val="00CF127C"/>
    <w:pPr>
      <w:widowControl w:val="0"/>
    </w:pPr>
    <w:rPr>
      <w:rFonts w:ascii="Times New Roman" w:eastAsia="Times" w:hAnsi="Times New Roman"/>
      <w:sz w:val="20"/>
    </w:rPr>
  </w:style>
  <w:style w:type="character" w:customStyle="1" w:styleId="FootnoteTextChar">
    <w:name w:val="Footnote Text Char"/>
    <w:basedOn w:val="DefaultParagraphFont"/>
    <w:link w:val="FootnoteText"/>
    <w:rsid w:val="00CF127C"/>
    <w:rPr>
      <w:rFonts w:ascii="Times New Roman" w:hAnsi="Times New Roman"/>
    </w:rPr>
  </w:style>
  <w:style w:type="character" w:styleId="FootnoteReference">
    <w:name w:val="footnote reference"/>
    <w:locked/>
    <w:rsid w:val="00CF127C"/>
    <w:rPr>
      <w:vertAlign w:val="superscript"/>
    </w:rPr>
  </w:style>
  <w:style w:type="paragraph" w:styleId="BodyTextIndent">
    <w:name w:val="Body Text Indent"/>
    <w:basedOn w:val="Normal"/>
    <w:link w:val="BodyTextIndentChar"/>
    <w:autoRedefine/>
    <w:locked/>
    <w:rsid w:val="00CF127C"/>
    <w:pPr>
      <w:ind w:left="720" w:right="720"/>
    </w:pPr>
    <w:rPr>
      <w:rFonts w:ascii="Times New Roman" w:eastAsia="Times" w:hAnsi="Times New Roman"/>
    </w:rPr>
  </w:style>
  <w:style w:type="character" w:customStyle="1" w:styleId="BodyTextIndentChar">
    <w:name w:val="Body Text Indent Char"/>
    <w:basedOn w:val="DefaultParagraphFont"/>
    <w:link w:val="BodyTextIndent"/>
    <w:rsid w:val="00CF127C"/>
    <w:rPr>
      <w:rFonts w:ascii="Times New Roman" w:hAnsi="Times New Roman"/>
      <w:sz w:val="24"/>
    </w:rPr>
  </w:style>
  <w:style w:type="paragraph" w:customStyle="1" w:styleId="Execsumheader1">
    <w:name w:val="Exec sum header 1"/>
    <w:autoRedefine/>
    <w:qFormat/>
    <w:rsid w:val="00CF127C"/>
    <w:pPr>
      <w:keepNext/>
      <w:keepLines/>
      <w:spacing w:before="240" w:after="60"/>
      <w:outlineLvl w:val="1"/>
    </w:pPr>
    <w:rPr>
      <w:rFonts w:ascii="Times New Roman" w:eastAsia="Times New Roman" w:hAnsi="Times New Roman"/>
      <w:color w:val="000000"/>
      <w:sz w:val="24"/>
      <w:szCs w:val="24"/>
    </w:rPr>
  </w:style>
  <w:style w:type="character" w:styleId="EndnoteReference">
    <w:name w:val="endnote reference"/>
    <w:locked/>
    <w:rsid w:val="00CF127C"/>
    <w:rPr>
      <w:vertAlign w:val="superscript"/>
    </w:rPr>
  </w:style>
  <w:style w:type="paragraph" w:styleId="EndnoteText">
    <w:name w:val="endnote text"/>
    <w:basedOn w:val="Normal"/>
    <w:link w:val="EndnoteTextChar"/>
    <w:locked/>
    <w:rsid w:val="00CF127C"/>
    <w:rPr>
      <w:rFonts w:ascii="Times New Roman" w:hAnsi="Times New Roman"/>
      <w:sz w:val="20"/>
    </w:rPr>
  </w:style>
  <w:style w:type="character" w:customStyle="1" w:styleId="EndnoteTextChar">
    <w:name w:val="Endnote Text Char"/>
    <w:basedOn w:val="DefaultParagraphFont"/>
    <w:link w:val="EndnoteText"/>
    <w:rsid w:val="00CF127C"/>
    <w:rPr>
      <w:rFonts w:ascii="Times New Roman" w:eastAsia="Times New Roman" w:hAnsi="Times New Roman"/>
    </w:rPr>
  </w:style>
  <w:style w:type="character" w:customStyle="1" w:styleId="PrefaceHeading">
    <w:name w:val="Preface Heading"/>
    <w:rsid w:val="00CF127C"/>
    <w:rPr>
      <w:rFonts w:ascii="Arial" w:hAnsi="Arial" w:cs="Arial"/>
      <w:b/>
      <w:sz w:val="32"/>
      <w:szCs w:val="32"/>
    </w:rPr>
  </w:style>
  <w:style w:type="character" w:customStyle="1" w:styleId="AcknowledgmentsHeader">
    <w:name w:val="Acknowledgments Header"/>
    <w:rsid w:val="00CF127C"/>
    <w:rPr>
      <w:rFonts w:ascii="Arial" w:hAnsi="Arial"/>
      <w:b/>
      <w:bCs/>
      <w:sz w:val="32"/>
    </w:rPr>
  </w:style>
  <w:style w:type="paragraph" w:customStyle="1" w:styleId="ContentsHeader">
    <w:name w:val="Contents Header"/>
    <w:basedOn w:val="Normal"/>
    <w:rsid w:val="00CF127C"/>
    <w:pPr>
      <w:autoSpaceDE w:val="0"/>
      <w:autoSpaceDN w:val="0"/>
      <w:adjustRightInd w:val="0"/>
      <w:jc w:val="center"/>
    </w:pPr>
    <w:rPr>
      <w:rFonts w:ascii="Arial" w:hAnsi="Arial" w:cs="Arial"/>
      <w:b/>
      <w:bCs/>
      <w:sz w:val="32"/>
      <w:szCs w:val="36"/>
    </w:rPr>
  </w:style>
  <w:style w:type="paragraph" w:customStyle="1" w:styleId="TableEPC">
    <w:name w:val="Table EPC"/>
    <w:qFormat/>
    <w:rsid w:val="00CF127C"/>
    <w:rPr>
      <w:rFonts w:ascii="Arial" w:hAnsi="Arial"/>
      <w:sz w:val="18"/>
    </w:rPr>
  </w:style>
  <w:style w:type="paragraph" w:customStyle="1" w:styleId="TableSubheading">
    <w:name w:val="Table Subheading"/>
    <w:basedOn w:val="TableEPC"/>
    <w:rsid w:val="00CF127C"/>
    <w:rPr>
      <w:b/>
      <w:i/>
      <w:iCs/>
    </w:rPr>
  </w:style>
  <w:style w:type="paragraph" w:customStyle="1" w:styleId="BodyTextinaBox">
    <w:name w:val="Body Text in a Box"/>
    <w:basedOn w:val="Normal"/>
    <w:rsid w:val="00CF127C"/>
    <w:pPr>
      <w:pBdr>
        <w:top w:val="single" w:sz="4" w:space="1" w:color="auto"/>
        <w:left w:val="single" w:sz="4" w:space="4" w:color="auto"/>
        <w:bottom w:val="single" w:sz="4" w:space="1" w:color="auto"/>
        <w:right w:val="single" w:sz="4" w:space="4" w:color="auto"/>
      </w:pBdr>
    </w:pPr>
    <w:rPr>
      <w:rFonts w:ascii="Times New Roman" w:eastAsia="Times" w:hAnsi="Times New Roman"/>
      <w:bCs/>
    </w:rPr>
  </w:style>
  <w:style w:type="paragraph" w:customStyle="1" w:styleId="TableFootnotes">
    <w:name w:val="Table Footnotes"/>
    <w:basedOn w:val="Normal"/>
    <w:autoRedefine/>
    <w:rsid w:val="00CF127C"/>
    <w:pPr>
      <w:autoSpaceDE w:val="0"/>
      <w:autoSpaceDN w:val="0"/>
      <w:adjustRightInd w:val="0"/>
    </w:pPr>
    <w:rPr>
      <w:rFonts w:ascii="Times New Roman" w:hAnsi="Times New Roman"/>
      <w:bCs/>
      <w:sz w:val="18"/>
      <w:szCs w:val="18"/>
    </w:rPr>
  </w:style>
  <w:style w:type="paragraph" w:customStyle="1" w:styleId="TypeofReport">
    <w:name w:val="Type of Report"/>
    <w:basedOn w:val="Normal"/>
    <w:rsid w:val="00CF127C"/>
    <w:pPr>
      <w:pBdr>
        <w:bottom w:val="single" w:sz="12" w:space="1" w:color="auto"/>
      </w:pBdr>
    </w:pPr>
    <w:rPr>
      <w:rFonts w:ascii="Times New Roman" w:hAnsi="Times New Roman"/>
      <w:b/>
      <w:bCs/>
      <w:i/>
      <w:iCs/>
      <w:sz w:val="36"/>
    </w:rPr>
  </w:style>
  <w:style w:type="paragraph" w:customStyle="1" w:styleId="Header4">
    <w:name w:val="Header 4"/>
    <w:autoRedefine/>
    <w:qFormat/>
    <w:rsid w:val="00CF127C"/>
    <w:pPr>
      <w:keepNext/>
      <w:spacing w:before="240"/>
      <w:contextualSpacing/>
    </w:pPr>
    <w:rPr>
      <w:rFonts w:ascii="Times New Roman" w:hAnsi="Times New Roman"/>
      <w:b/>
      <w:sz w:val="28"/>
    </w:rPr>
  </w:style>
  <w:style w:type="paragraph" w:customStyle="1" w:styleId="NumberedList">
    <w:name w:val="Numbered List"/>
    <w:basedOn w:val="BodyTextFirstIndent"/>
    <w:rsid w:val="00CF127C"/>
    <w:pPr>
      <w:tabs>
        <w:tab w:val="num" w:pos="720"/>
      </w:tabs>
      <w:ind w:left="720" w:hanging="360"/>
    </w:pPr>
  </w:style>
  <w:style w:type="paragraph" w:customStyle="1" w:styleId="BulletedList">
    <w:name w:val="Bulleted List"/>
    <w:basedOn w:val="BodyTextFirstIndent"/>
    <w:rsid w:val="00CF127C"/>
    <w:pPr>
      <w:ind w:left="1080" w:hanging="360"/>
    </w:pPr>
  </w:style>
  <w:style w:type="paragraph" w:customStyle="1" w:styleId="ReferenceText">
    <w:name w:val="Reference Text"/>
    <w:basedOn w:val="NumberedList"/>
    <w:rsid w:val="00CF127C"/>
    <w:pPr>
      <w:tabs>
        <w:tab w:val="clear" w:pos="720"/>
      </w:tabs>
      <w:spacing w:after="200"/>
      <w:ind w:left="1080" w:right="360"/>
      <w:contextualSpacing w:val="0"/>
    </w:pPr>
    <w:rPr>
      <w:sz w:val="20"/>
    </w:rPr>
  </w:style>
  <w:style w:type="paragraph" w:customStyle="1" w:styleId="ListofExcludedStudies">
    <w:name w:val="List of Excluded Studies"/>
    <w:basedOn w:val="NumberedList"/>
    <w:rsid w:val="00CF127C"/>
    <w:pPr>
      <w:tabs>
        <w:tab w:val="clear" w:pos="720"/>
        <w:tab w:val="num" w:pos="360"/>
      </w:tabs>
      <w:ind w:left="360"/>
    </w:pPr>
    <w:rPr>
      <w:sz w:val="18"/>
    </w:rPr>
  </w:style>
  <w:style w:type="paragraph" w:customStyle="1" w:styleId="ExcludedStudiesHeader">
    <w:name w:val="Excluded Studies Header"/>
    <w:basedOn w:val="BodyText"/>
    <w:rsid w:val="00CF127C"/>
    <w:pPr>
      <w:spacing w:after="0"/>
      <w:contextualSpacing/>
    </w:pPr>
    <w:rPr>
      <w:rFonts w:ascii="Times New Roman" w:eastAsia="Times" w:hAnsi="Times New Roman"/>
      <w:sz w:val="18"/>
      <w:u w:val="single"/>
    </w:rPr>
  </w:style>
  <w:style w:type="paragraph" w:styleId="TOC3">
    <w:name w:val="toc 3"/>
    <w:basedOn w:val="Normal"/>
    <w:next w:val="Normal"/>
    <w:autoRedefine/>
    <w:qFormat/>
    <w:rsid w:val="00CF127C"/>
    <w:pPr>
      <w:ind w:left="480"/>
    </w:pPr>
    <w:rPr>
      <w:rFonts w:ascii="Times New Roman" w:eastAsia="Times" w:hAnsi="Times New Roman"/>
    </w:rPr>
  </w:style>
  <w:style w:type="paragraph" w:customStyle="1" w:styleId="AppendixTitlePage">
    <w:name w:val="Appendix Title Page"/>
    <w:basedOn w:val="Normal"/>
    <w:rsid w:val="00CF127C"/>
    <w:pPr>
      <w:jc w:val="center"/>
    </w:pPr>
    <w:rPr>
      <w:rFonts w:ascii="Arial" w:eastAsia="Times" w:hAnsi="Arial"/>
      <w:b/>
      <w:sz w:val="36"/>
    </w:rPr>
  </w:style>
  <w:style w:type="paragraph" w:customStyle="1" w:styleId="FigureHeading">
    <w:name w:val="Figure Heading"/>
    <w:basedOn w:val="TableHeading"/>
    <w:rsid w:val="00CF127C"/>
  </w:style>
  <w:style w:type="paragraph" w:customStyle="1" w:styleId="AppendixesDividerPage">
    <w:name w:val="Appendixes Divider Page"/>
    <w:basedOn w:val="Normal"/>
    <w:rsid w:val="00CF127C"/>
    <w:pPr>
      <w:jc w:val="center"/>
    </w:pPr>
    <w:rPr>
      <w:rFonts w:ascii="Arial" w:eastAsia="Times" w:hAnsi="Arial"/>
      <w:b/>
      <w:sz w:val="36"/>
      <w:szCs w:val="36"/>
    </w:rPr>
  </w:style>
  <w:style w:type="paragraph" w:customStyle="1" w:styleId="AppendixTextStartsHere">
    <w:name w:val="Appendix Text Starts Here"/>
    <w:basedOn w:val="AppendixTitlePage"/>
    <w:rsid w:val="00CF127C"/>
    <w:pPr>
      <w:jc w:val="left"/>
    </w:pPr>
    <w:rPr>
      <w:sz w:val="32"/>
    </w:rPr>
  </w:style>
  <w:style w:type="character" w:customStyle="1" w:styleId="FooterChar1">
    <w:name w:val="Footer Char1"/>
    <w:aliases w:val="Footnote Char1"/>
    <w:rsid w:val="00CF127C"/>
    <w:rPr>
      <w:rFonts w:eastAsia="Times"/>
      <w:lang w:val="en-US" w:eastAsia="en-US" w:bidi="ar-SA"/>
    </w:rPr>
  </w:style>
  <w:style w:type="character" w:styleId="FollowedHyperlink">
    <w:name w:val="FollowedHyperlink"/>
    <w:locked/>
    <w:rsid w:val="00CF127C"/>
    <w:rPr>
      <w:color w:val="800080"/>
      <w:u w:val="single"/>
    </w:rPr>
  </w:style>
  <w:style w:type="paragraph" w:customStyle="1" w:styleId="StructuredAbstract">
    <w:name w:val="Structured Abstract"/>
    <w:qFormat/>
    <w:rsid w:val="00CF127C"/>
    <w:pPr>
      <w:spacing w:before="240"/>
    </w:pPr>
    <w:rPr>
      <w:rFonts w:ascii="Arial" w:hAnsi="Arial"/>
      <w:b/>
      <w:sz w:val="32"/>
    </w:rPr>
  </w:style>
  <w:style w:type="paragraph" w:styleId="TOCHeading">
    <w:name w:val="TOC Heading"/>
    <w:basedOn w:val="Heading1"/>
    <w:next w:val="Normal"/>
    <w:qFormat/>
    <w:rsid w:val="00CF127C"/>
    <w:pPr>
      <w:keepLines/>
      <w:spacing w:before="480" w:after="0" w:line="276" w:lineRule="auto"/>
      <w:outlineLvl w:val="9"/>
    </w:pPr>
    <w:rPr>
      <w:color w:val="365F91"/>
      <w:kern w:val="0"/>
      <w:sz w:val="28"/>
      <w:szCs w:val="28"/>
    </w:rPr>
  </w:style>
  <w:style w:type="paragraph" w:customStyle="1" w:styleId="TextprovidedbyAHRQOCKT">
    <w:name w:val="Text provided by AHRQ OCKT"/>
    <w:basedOn w:val="Normal"/>
    <w:rsid w:val="00CF127C"/>
    <w:pPr>
      <w:spacing w:before="60"/>
      <w:ind w:firstLine="360"/>
    </w:pPr>
    <w:rPr>
      <w:rFonts w:ascii="Arial" w:hAnsi="Arial" w:cs="Arial"/>
      <w:color w:val="000080"/>
      <w:sz w:val="20"/>
    </w:rPr>
  </w:style>
  <w:style w:type="paragraph" w:customStyle="1" w:styleId="Header3">
    <w:name w:val="Header 3"/>
    <w:autoRedefine/>
    <w:qFormat/>
    <w:rsid w:val="00CF127C"/>
    <w:pPr>
      <w:keepNext/>
      <w:spacing w:before="240"/>
    </w:pPr>
    <w:rPr>
      <w:rFonts w:ascii="Arial" w:hAnsi="Arial"/>
      <w:b/>
      <w:bCs/>
      <w:sz w:val="28"/>
    </w:rPr>
  </w:style>
  <w:style w:type="paragraph" w:customStyle="1" w:styleId="Header5">
    <w:name w:val="Header 5"/>
    <w:rsid w:val="00CF127C"/>
    <w:pPr>
      <w:spacing w:before="240"/>
    </w:pPr>
    <w:rPr>
      <w:rFonts w:ascii="Times New Roman" w:eastAsia="Times New Roman" w:hAnsi="Times New Roman"/>
      <w:b/>
      <w:sz w:val="24"/>
    </w:rPr>
  </w:style>
  <w:style w:type="paragraph" w:customStyle="1" w:styleId="KeyQuestion0">
    <w:name w:val="Key Question"/>
    <w:autoRedefine/>
    <w:qFormat/>
    <w:rsid w:val="00CF127C"/>
    <w:pPr>
      <w:spacing w:before="120" w:after="120"/>
    </w:pPr>
    <w:rPr>
      <w:rFonts w:ascii="Arial" w:hAnsi="Arial"/>
      <w:sz w:val="28"/>
    </w:rPr>
  </w:style>
  <w:style w:type="paragraph" w:customStyle="1" w:styleId="KeyQuestionLong">
    <w:name w:val="Key Question Long"/>
    <w:basedOn w:val="KeyQuestion0"/>
    <w:qFormat/>
    <w:rsid w:val="00CF127C"/>
    <w:rPr>
      <w:sz w:val="24"/>
    </w:rPr>
  </w:style>
  <w:style w:type="paragraph" w:customStyle="1" w:styleId="TextBox">
    <w:name w:val="Text Box"/>
    <w:basedOn w:val="BodyTextFirstIndent"/>
    <w:qFormat/>
    <w:rsid w:val="00CF127C"/>
    <w:pPr>
      <w:pBdr>
        <w:top w:val="single" w:sz="4" w:space="1" w:color="auto"/>
        <w:left w:val="single" w:sz="4" w:space="4" w:color="auto"/>
        <w:bottom w:val="single" w:sz="4" w:space="1" w:color="auto"/>
        <w:right w:val="single" w:sz="4" w:space="4" w:color="auto"/>
      </w:pBdr>
      <w:ind w:firstLine="0"/>
    </w:pPr>
  </w:style>
  <w:style w:type="paragraph" w:customStyle="1" w:styleId="Header6">
    <w:name w:val="Header 6"/>
    <w:qFormat/>
    <w:rsid w:val="00CF127C"/>
    <w:pPr>
      <w:spacing w:before="240"/>
    </w:pPr>
    <w:rPr>
      <w:rFonts w:ascii="Times New Roman" w:eastAsia="Times New Roman" w:hAnsi="Times New Roman"/>
      <w:b/>
      <w:i/>
      <w:sz w:val="24"/>
    </w:rPr>
  </w:style>
  <w:style w:type="paragraph" w:customStyle="1" w:styleId="BodyTextFlushLeft">
    <w:name w:val="Body Text Flush Left"/>
    <w:basedOn w:val="BodyTextFirstIndent"/>
    <w:qFormat/>
    <w:rsid w:val="00CF127C"/>
    <w:pPr>
      <w:ind w:firstLine="0"/>
    </w:pPr>
  </w:style>
  <w:style w:type="paragraph" w:customStyle="1" w:styleId="Header7">
    <w:name w:val="Header 7"/>
    <w:qFormat/>
    <w:rsid w:val="00CF127C"/>
    <w:pPr>
      <w:spacing w:before="240"/>
    </w:pPr>
    <w:rPr>
      <w:rFonts w:ascii="Times New Roman" w:eastAsia="Times New Roman" w:hAnsi="Times New Roman"/>
      <w:b/>
      <w:sz w:val="24"/>
    </w:rPr>
  </w:style>
  <w:style w:type="paragraph" w:customStyle="1" w:styleId="Header8">
    <w:name w:val="Header 8"/>
    <w:qFormat/>
    <w:rsid w:val="00CF127C"/>
    <w:pPr>
      <w:spacing w:before="240"/>
    </w:pPr>
    <w:rPr>
      <w:rFonts w:ascii="Times New Roman" w:eastAsia="Times New Roman" w:hAnsi="Times New Roman"/>
      <w:b/>
      <w:i/>
      <w:sz w:val="24"/>
    </w:rPr>
  </w:style>
  <w:style w:type="paragraph" w:customStyle="1" w:styleId="TableColumnHeader">
    <w:name w:val="Table Column Header"/>
    <w:qFormat/>
    <w:rsid w:val="00CF127C"/>
    <w:pPr>
      <w:jc w:val="center"/>
    </w:pPr>
    <w:rPr>
      <w:rFonts w:ascii="Arial Bold" w:hAnsi="Arial Bold"/>
      <w:b/>
      <w:sz w:val="18"/>
    </w:rPr>
  </w:style>
  <w:style w:type="paragraph" w:customStyle="1" w:styleId="TableCenteredText0">
    <w:name w:val="Table Centered Text"/>
    <w:basedOn w:val="TableEPC"/>
    <w:qFormat/>
    <w:rsid w:val="00CF127C"/>
    <w:pPr>
      <w:jc w:val="center"/>
    </w:pPr>
  </w:style>
  <w:style w:type="paragraph" w:customStyle="1" w:styleId="TableBoldText0">
    <w:name w:val="Table Bold Text"/>
    <w:basedOn w:val="TableEPC"/>
    <w:qFormat/>
    <w:rsid w:val="00CF127C"/>
    <w:rPr>
      <w:b/>
    </w:rPr>
  </w:style>
  <w:style w:type="paragraph" w:customStyle="1" w:styleId="Execsumtext">
    <w:name w:val="Exec sum text"/>
    <w:basedOn w:val="Normal"/>
    <w:qFormat/>
    <w:rsid w:val="00CF127C"/>
    <w:rPr>
      <w:rFonts w:ascii="Arial" w:eastAsia="Times" w:hAnsi="Arial" w:cs="Arial"/>
      <w:sz w:val="20"/>
    </w:rPr>
  </w:style>
  <w:style w:type="paragraph" w:customStyle="1" w:styleId="text">
    <w:name w:val="text"/>
    <w:basedOn w:val="Normal"/>
    <w:rsid w:val="00CF127C"/>
    <w:pPr>
      <w:spacing w:before="120"/>
      <w:ind w:firstLine="720"/>
    </w:pPr>
    <w:rPr>
      <w:rFonts w:ascii="Arial" w:hAnsi="Arial"/>
      <w:szCs w:val="24"/>
    </w:rPr>
  </w:style>
  <w:style w:type="paragraph" w:customStyle="1" w:styleId="ColorfulList-Accent11">
    <w:name w:val="Colorful List - Accent 11"/>
    <w:basedOn w:val="Normal"/>
    <w:qFormat/>
    <w:rsid w:val="00CF127C"/>
    <w:pPr>
      <w:ind w:left="720"/>
    </w:pPr>
    <w:rPr>
      <w:rFonts w:ascii="Times New Roman" w:hAnsi="Times New Roman"/>
      <w:szCs w:val="24"/>
    </w:rPr>
  </w:style>
  <w:style w:type="paragraph" w:customStyle="1" w:styleId="HeadingLevel3">
    <w:name w:val="Heading Level 3"/>
    <w:basedOn w:val="Header3"/>
    <w:qFormat/>
    <w:rsid w:val="00CF127C"/>
    <w:rPr>
      <w:sz w:val="24"/>
    </w:rPr>
  </w:style>
  <w:style w:type="character" w:styleId="Strong">
    <w:name w:val="Strong"/>
    <w:qFormat/>
    <w:rsid w:val="00CF127C"/>
    <w:rPr>
      <w:b/>
      <w:bCs/>
    </w:rPr>
  </w:style>
  <w:style w:type="character" w:customStyle="1" w:styleId="term">
    <w:name w:val="term"/>
    <w:rsid w:val="00CF127C"/>
  </w:style>
  <w:style w:type="character" w:customStyle="1" w:styleId="txtsmallerbold1">
    <w:name w:val="txtsmallerbold1"/>
    <w:rsid w:val="00CF127C"/>
    <w:rPr>
      <w:rFonts w:ascii="Arial" w:hAnsi="Arial" w:cs="Arial" w:hint="default"/>
      <w:b/>
      <w:bCs/>
      <w:sz w:val="22"/>
      <w:szCs w:val="22"/>
    </w:rPr>
  </w:style>
  <w:style w:type="character" w:customStyle="1" w:styleId="txtsmaller1">
    <w:name w:val="txtsmaller1"/>
    <w:rsid w:val="00CF127C"/>
    <w:rPr>
      <w:sz w:val="22"/>
      <w:szCs w:val="22"/>
    </w:rPr>
  </w:style>
  <w:style w:type="character" w:customStyle="1" w:styleId="body3">
    <w:name w:val="body3"/>
    <w:rsid w:val="00CF127C"/>
    <w:rPr>
      <w:sz w:val="24"/>
      <w:szCs w:val="24"/>
    </w:rPr>
  </w:style>
  <w:style w:type="character" w:customStyle="1" w:styleId="FootnoteCharChar">
    <w:name w:val="Footnote Char Char"/>
    <w:rsid w:val="00CF127C"/>
    <w:rPr>
      <w:sz w:val="24"/>
      <w:szCs w:val="24"/>
    </w:rPr>
  </w:style>
  <w:style w:type="paragraph" w:styleId="Title">
    <w:name w:val="Title"/>
    <w:basedOn w:val="Normal"/>
    <w:link w:val="TitleChar"/>
    <w:qFormat/>
    <w:rsid w:val="00CF127C"/>
    <w:pPr>
      <w:jc w:val="center"/>
    </w:pPr>
    <w:rPr>
      <w:rFonts w:ascii="Times New Roman" w:hAnsi="Times New Roman"/>
      <w:b/>
      <w:sz w:val="32"/>
    </w:rPr>
  </w:style>
  <w:style w:type="character" w:customStyle="1" w:styleId="TitleChar">
    <w:name w:val="Title Char"/>
    <w:basedOn w:val="DefaultParagraphFont"/>
    <w:link w:val="Title"/>
    <w:rsid w:val="00CF127C"/>
    <w:rPr>
      <w:rFonts w:ascii="Times New Roman" w:eastAsia="Times New Roman" w:hAnsi="Times New Roman"/>
      <w:b/>
      <w:sz w:val="32"/>
    </w:rPr>
  </w:style>
  <w:style w:type="character" w:customStyle="1" w:styleId="st">
    <w:name w:val="st"/>
    <w:rsid w:val="00CF127C"/>
  </w:style>
  <w:style w:type="paragraph" w:styleId="ListParagraph">
    <w:name w:val="List Paragraph"/>
    <w:basedOn w:val="Normal"/>
    <w:qFormat/>
    <w:rsid w:val="00CF127C"/>
    <w:pPr>
      <w:spacing w:after="200" w:line="276" w:lineRule="auto"/>
      <w:ind w:left="720"/>
      <w:contextualSpacing/>
    </w:pPr>
    <w:rPr>
      <w:rFonts w:ascii="Calibri" w:eastAsia="Calibri" w:hAnsi="Calibri" w:cs="Calibri"/>
      <w:sz w:val="22"/>
      <w:szCs w:val="22"/>
    </w:rPr>
  </w:style>
  <w:style w:type="character" w:styleId="PageNumber0">
    <w:name w:val="page number"/>
    <w:basedOn w:val="DefaultParagraphFont"/>
    <w:locked/>
    <w:rsid w:val="00CF127C"/>
  </w:style>
  <w:style w:type="paragraph" w:styleId="Revision">
    <w:name w:val="Revision"/>
    <w:hidden/>
    <w:uiPriority w:val="99"/>
    <w:semiHidden/>
    <w:rsid w:val="00B243AB"/>
    <w:rPr>
      <w:rFonts w:eastAsia="Times New Roman"/>
      <w:sz w:val="24"/>
    </w:rPr>
  </w:style>
</w:styles>
</file>

<file path=word/webSettings.xml><?xml version="1.0" encoding="utf-8"?>
<w:webSettings xmlns:r="http://schemas.openxmlformats.org/officeDocument/2006/relationships" xmlns:w="http://schemas.openxmlformats.org/wordprocessingml/2006/main">
  <w:divs>
    <w:div w:id="1943341916">
      <w:marLeft w:val="0"/>
      <w:marRight w:val="0"/>
      <w:marTop w:val="0"/>
      <w:marBottom w:val="0"/>
      <w:divBdr>
        <w:top w:val="none" w:sz="0" w:space="0" w:color="auto"/>
        <w:left w:val="none" w:sz="0" w:space="0" w:color="auto"/>
        <w:bottom w:val="none" w:sz="0" w:space="0" w:color="auto"/>
        <w:right w:val="none" w:sz="0" w:space="0" w:color="auto"/>
      </w:divBdr>
    </w:div>
    <w:div w:id="1943341920">
      <w:marLeft w:val="0"/>
      <w:marRight w:val="0"/>
      <w:marTop w:val="0"/>
      <w:marBottom w:val="0"/>
      <w:divBdr>
        <w:top w:val="none" w:sz="0" w:space="0" w:color="auto"/>
        <w:left w:val="none" w:sz="0" w:space="0" w:color="auto"/>
        <w:bottom w:val="none" w:sz="0" w:space="0" w:color="auto"/>
        <w:right w:val="none" w:sz="0" w:space="0" w:color="auto"/>
      </w:divBdr>
    </w:div>
    <w:div w:id="1943341921">
      <w:marLeft w:val="0"/>
      <w:marRight w:val="0"/>
      <w:marTop w:val="0"/>
      <w:marBottom w:val="0"/>
      <w:divBdr>
        <w:top w:val="none" w:sz="0" w:space="0" w:color="auto"/>
        <w:left w:val="none" w:sz="0" w:space="0" w:color="auto"/>
        <w:bottom w:val="none" w:sz="0" w:space="0" w:color="auto"/>
        <w:right w:val="none" w:sz="0" w:space="0" w:color="auto"/>
      </w:divBdr>
    </w:div>
    <w:div w:id="1943341924">
      <w:marLeft w:val="0"/>
      <w:marRight w:val="0"/>
      <w:marTop w:val="0"/>
      <w:marBottom w:val="0"/>
      <w:divBdr>
        <w:top w:val="none" w:sz="0" w:space="0" w:color="auto"/>
        <w:left w:val="none" w:sz="0" w:space="0" w:color="auto"/>
        <w:bottom w:val="none" w:sz="0" w:space="0" w:color="auto"/>
        <w:right w:val="none" w:sz="0" w:space="0" w:color="auto"/>
      </w:divBdr>
    </w:div>
    <w:div w:id="1943341925">
      <w:marLeft w:val="0"/>
      <w:marRight w:val="0"/>
      <w:marTop w:val="0"/>
      <w:marBottom w:val="0"/>
      <w:divBdr>
        <w:top w:val="none" w:sz="0" w:space="0" w:color="auto"/>
        <w:left w:val="none" w:sz="0" w:space="0" w:color="auto"/>
        <w:bottom w:val="none" w:sz="0" w:space="0" w:color="auto"/>
        <w:right w:val="none" w:sz="0" w:space="0" w:color="auto"/>
      </w:divBdr>
      <w:divsChild>
        <w:div w:id="1943341919">
          <w:marLeft w:val="0"/>
          <w:marRight w:val="0"/>
          <w:marTop w:val="0"/>
          <w:marBottom w:val="0"/>
          <w:divBdr>
            <w:top w:val="none" w:sz="0" w:space="0" w:color="auto"/>
            <w:left w:val="none" w:sz="0" w:space="0" w:color="auto"/>
            <w:bottom w:val="none" w:sz="0" w:space="0" w:color="auto"/>
            <w:right w:val="none" w:sz="0" w:space="0" w:color="auto"/>
          </w:divBdr>
          <w:divsChild>
            <w:div w:id="1943341918">
              <w:marLeft w:val="0"/>
              <w:marRight w:val="0"/>
              <w:marTop w:val="0"/>
              <w:marBottom w:val="0"/>
              <w:divBdr>
                <w:top w:val="none" w:sz="0" w:space="0" w:color="auto"/>
                <w:left w:val="none" w:sz="0" w:space="0" w:color="auto"/>
                <w:bottom w:val="none" w:sz="0" w:space="0" w:color="auto"/>
                <w:right w:val="none" w:sz="0" w:space="0" w:color="auto"/>
              </w:divBdr>
              <w:divsChild>
                <w:div w:id="1943341927">
                  <w:marLeft w:val="0"/>
                  <w:marRight w:val="0"/>
                  <w:marTop w:val="0"/>
                  <w:marBottom w:val="0"/>
                  <w:divBdr>
                    <w:top w:val="none" w:sz="0" w:space="0" w:color="auto"/>
                    <w:left w:val="none" w:sz="0" w:space="0" w:color="auto"/>
                    <w:bottom w:val="none" w:sz="0" w:space="0" w:color="auto"/>
                    <w:right w:val="none" w:sz="0" w:space="0" w:color="auto"/>
                  </w:divBdr>
                  <w:divsChild>
                    <w:div w:id="19433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341926">
      <w:marLeft w:val="0"/>
      <w:marRight w:val="0"/>
      <w:marTop w:val="0"/>
      <w:marBottom w:val="0"/>
      <w:divBdr>
        <w:top w:val="none" w:sz="0" w:space="0" w:color="auto"/>
        <w:left w:val="none" w:sz="0" w:space="0" w:color="auto"/>
        <w:bottom w:val="none" w:sz="0" w:space="0" w:color="auto"/>
        <w:right w:val="none" w:sz="0" w:space="0" w:color="auto"/>
      </w:divBdr>
    </w:div>
    <w:div w:id="1943341928">
      <w:marLeft w:val="0"/>
      <w:marRight w:val="0"/>
      <w:marTop w:val="0"/>
      <w:marBottom w:val="0"/>
      <w:divBdr>
        <w:top w:val="none" w:sz="0" w:space="0" w:color="auto"/>
        <w:left w:val="none" w:sz="0" w:space="0" w:color="auto"/>
        <w:bottom w:val="none" w:sz="0" w:space="0" w:color="auto"/>
        <w:right w:val="none" w:sz="0" w:space="0" w:color="auto"/>
      </w:divBdr>
    </w:div>
    <w:div w:id="1943341929">
      <w:marLeft w:val="0"/>
      <w:marRight w:val="0"/>
      <w:marTop w:val="0"/>
      <w:marBottom w:val="0"/>
      <w:divBdr>
        <w:top w:val="none" w:sz="0" w:space="0" w:color="auto"/>
        <w:left w:val="none" w:sz="0" w:space="0" w:color="auto"/>
        <w:bottom w:val="none" w:sz="0" w:space="0" w:color="auto"/>
        <w:right w:val="none" w:sz="0" w:space="0" w:color="auto"/>
      </w:divBdr>
    </w:div>
    <w:div w:id="1943341930">
      <w:marLeft w:val="0"/>
      <w:marRight w:val="0"/>
      <w:marTop w:val="0"/>
      <w:marBottom w:val="0"/>
      <w:divBdr>
        <w:top w:val="none" w:sz="0" w:space="0" w:color="auto"/>
        <w:left w:val="none" w:sz="0" w:space="0" w:color="auto"/>
        <w:bottom w:val="none" w:sz="0" w:space="0" w:color="auto"/>
        <w:right w:val="none" w:sz="0" w:space="0" w:color="auto"/>
      </w:divBdr>
      <w:divsChild>
        <w:div w:id="1943341942">
          <w:marLeft w:val="0"/>
          <w:marRight w:val="1"/>
          <w:marTop w:val="0"/>
          <w:marBottom w:val="0"/>
          <w:divBdr>
            <w:top w:val="none" w:sz="0" w:space="0" w:color="auto"/>
            <w:left w:val="none" w:sz="0" w:space="0" w:color="auto"/>
            <w:bottom w:val="none" w:sz="0" w:space="0" w:color="auto"/>
            <w:right w:val="none" w:sz="0" w:space="0" w:color="auto"/>
          </w:divBdr>
          <w:divsChild>
            <w:div w:id="1943341940">
              <w:marLeft w:val="0"/>
              <w:marRight w:val="0"/>
              <w:marTop w:val="0"/>
              <w:marBottom w:val="0"/>
              <w:divBdr>
                <w:top w:val="none" w:sz="0" w:space="0" w:color="auto"/>
                <w:left w:val="none" w:sz="0" w:space="0" w:color="auto"/>
                <w:bottom w:val="none" w:sz="0" w:space="0" w:color="auto"/>
                <w:right w:val="none" w:sz="0" w:space="0" w:color="auto"/>
              </w:divBdr>
              <w:divsChild>
                <w:div w:id="1943341931">
                  <w:marLeft w:val="0"/>
                  <w:marRight w:val="1"/>
                  <w:marTop w:val="0"/>
                  <w:marBottom w:val="0"/>
                  <w:divBdr>
                    <w:top w:val="none" w:sz="0" w:space="0" w:color="auto"/>
                    <w:left w:val="none" w:sz="0" w:space="0" w:color="auto"/>
                    <w:bottom w:val="none" w:sz="0" w:space="0" w:color="auto"/>
                    <w:right w:val="none" w:sz="0" w:space="0" w:color="auto"/>
                  </w:divBdr>
                  <w:divsChild>
                    <w:div w:id="1943341923">
                      <w:marLeft w:val="0"/>
                      <w:marRight w:val="0"/>
                      <w:marTop w:val="0"/>
                      <w:marBottom w:val="0"/>
                      <w:divBdr>
                        <w:top w:val="none" w:sz="0" w:space="0" w:color="auto"/>
                        <w:left w:val="none" w:sz="0" w:space="0" w:color="auto"/>
                        <w:bottom w:val="none" w:sz="0" w:space="0" w:color="auto"/>
                        <w:right w:val="none" w:sz="0" w:space="0" w:color="auto"/>
                      </w:divBdr>
                      <w:divsChild>
                        <w:div w:id="1943341922">
                          <w:marLeft w:val="0"/>
                          <w:marRight w:val="0"/>
                          <w:marTop w:val="0"/>
                          <w:marBottom w:val="0"/>
                          <w:divBdr>
                            <w:top w:val="none" w:sz="0" w:space="0" w:color="auto"/>
                            <w:left w:val="none" w:sz="0" w:space="0" w:color="auto"/>
                            <w:bottom w:val="none" w:sz="0" w:space="0" w:color="auto"/>
                            <w:right w:val="none" w:sz="0" w:space="0" w:color="auto"/>
                          </w:divBdr>
                          <w:divsChild>
                            <w:div w:id="1943341937">
                              <w:marLeft w:val="0"/>
                              <w:marRight w:val="0"/>
                              <w:marTop w:val="120"/>
                              <w:marBottom w:val="360"/>
                              <w:divBdr>
                                <w:top w:val="none" w:sz="0" w:space="0" w:color="auto"/>
                                <w:left w:val="none" w:sz="0" w:space="0" w:color="auto"/>
                                <w:bottom w:val="none" w:sz="0" w:space="0" w:color="auto"/>
                                <w:right w:val="none" w:sz="0" w:space="0" w:color="auto"/>
                              </w:divBdr>
                              <w:divsChild>
                                <w:div w:id="1943341933">
                                  <w:marLeft w:val="420"/>
                                  <w:marRight w:val="0"/>
                                  <w:marTop w:val="0"/>
                                  <w:marBottom w:val="0"/>
                                  <w:divBdr>
                                    <w:top w:val="none" w:sz="0" w:space="0" w:color="auto"/>
                                    <w:left w:val="none" w:sz="0" w:space="0" w:color="auto"/>
                                    <w:bottom w:val="none" w:sz="0" w:space="0" w:color="auto"/>
                                    <w:right w:val="none" w:sz="0" w:space="0" w:color="auto"/>
                                  </w:divBdr>
                                  <w:divsChild>
                                    <w:div w:id="1943341917">
                                      <w:marLeft w:val="0"/>
                                      <w:marRight w:val="0"/>
                                      <w:marTop w:val="34"/>
                                      <w:marBottom w:val="34"/>
                                      <w:divBdr>
                                        <w:top w:val="none" w:sz="0" w:space="0" w:color="auto"/>
                                        <w:left w:val="none" w:sz="0" w:space="0" w:color="auto"/>
                                        <w:bottom w:val="none" w:sz="0" w:space="0" w:color="auto"/>
                                        <w:right w:val="none" w:sz="0" w:space="0" w:color="auto"/>
                                      </w:divBdr>
                                      <w:divsChild>
                                        <w:div w:id="19433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341932">
      <w:marLeft w:val="0"/>
      <w:marRight w:val="0"/>
      <w:marTop w:val="0"/>
      <w:marBottom w:val="0"/>
      <w:divBdr>
        <w:top w:val="none" w:sz="0" w:space="0" w:color="auto"/>
        <w:left w:val="none" w:sz="0" w:space="0" w:color="auto"/>
        <w:bottom w:val="none" w:sz="0" w:space="0" w:color="auto"/>
        <w:right w:val="none" w:sz="0" w:space="0" w:color="auto"/>
      </w:divBdr>
    </w:div>
    <w:div w:id="1943341934">
      <w:marLeft w:val="0"/>
      <w:marRight w:val="0"/>
      <w:marTop w:val="0"/>
      <w:marBottom w:val="0"/>
      <w:divBdr>
        <w:top w:val="none" w:sz="0" w:space="0" w:color="auto"/>
        <w:left w:val="none" w:sz="0" w:space="0" w:color="auto"/>
        <w:bottom w:val="none" w:sz="0" w:space="0" w:color="auto"/>
        <w:right w:val="none" w:sz="0" w:space="0" w:color="auto"/>
      </w:divBdr>
    </w:div>
    <w:div w:id="1943341935">
      <w:marLeft w:val="0"/>
      <w:marRight w:val="0"/>
      <w:marTop w:val="0"/>
      <w:marBottom w:val="0"/>
      <w:divBdr>
        <w:top w:val="none" w:sz="0" w:space="0" w:color="auto"/>
        <w:left w:val="none" w:sz="0" w:space="0" w:color="auto"/>
        <w:bottom w:val="none" w:sz="0" w:space="0" w:color="auto"/>
        <w:right w:val="none" w:sz="0" w:space="0" w:color="auto"/>
      </w:divBdr>
    </w:div>
    <w:div w:id="1943341936">
      <w:marLeft w:val="0"/>
      <w:marRight w:val="0"/>
      <w:marTop w:val="0"/>
      <w:marBottom w:val="0"/>
      <w:divBdr>
        <w:top w:val="none" w:sz="0" w:space="0" w:color="auto"/>
        <w:left w:val="none" w:sz="0" w:space="0" w:color="auto"/>
        <w:bottom w:val="none" w:sz="0" w:space="0" w:color="auto"/>
        <w:right w:val="none" w:sz="0" w:space="0" w:color="auto"/>
      </w:divBdr>
    </w:div>
    <w:div w:id="1943341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ocuments\ReportTemplat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9259-CD8E-47D1-B220-343AA8E1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ReportTemplateNew</Template>
  <TotalTime>33</TotalTime>
  <Pages>5</Pages>
  <Words>1648</Words>
  <Characters>9400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Template for Draft Reports</vt:lpstr>
    </vt:vector>
  </TitlesOfParts>
  <Company>RAND Corporation</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Draft Reports</dc:title>
  <dc:creator>Perry, Tanja Rosalinde</dc:creator>
  <cp:lastModifiedBy>Venture</cp:lastModifiedBy>
  <cp:revision>8</cp:revision>
  <cp:lastPrinted>2012-07-02T15:17:00Z</cp:lastPrinted>
  <dcterms:created xsi:type="dcterms:W3CDTF">2012-07-02T15:05:00Z</dcterms:created>
  <dcterms:modified xsi:type="dcterms:W3CDTF">2012-07-04T12:52:00Z</dcterms:modified>
</cp:coreProperties>
</file>