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7C" w:rsidRPr="0000571A" w:rsidRDefault="00CF127C" w:rsidP="00CF127C">
      <w:pPr>
        <w:rPr>
          <w:b/>
        </w:rPr>
      </w:pPr>
    </w:p>
    <w:tbl>
      <w:tblPr>
        <w:tblW w:w="135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6"/>
        <w:gridCol w:w="1149"/>
        <w:gridCol w:w="1980"/>
        <w:gridCol w:w="1080"/>
        <w:gridCol w:w="1620"/>
        <w:gridCol w:w="5760"/>
        <w:gridCol w:w="810"/>
      </w:tblGrid>
      <w:tr w:rsidR="00CF127C" w:rsidRPr="00C7769A" w:rsidTr="0084105C">
        <w:trPr>
          <w:cantSplit/>
          <w:trHeight w:val="615"/>
          <w:tblHeader/>
        </w:trPr>
        <w:tc>
          <w:tcPr>
            <w:tcW w:w="1116" w:type="dxa"/>
            <w:vAlign w:val="bottom"/>
          </w:tcPr>
          <w:p w:rsidR="00CF127C" w:rsidRPr="00C7769A" w:rsidRDefault="00CF127C" w:rsidP="0084105C">
            <w:pPr>
              <w:jc w:val="center"/>
              <w:rPr>
                <w:b/>
                <w:color w:val="000000"/>
                <w:sz w:val="18"/>
                <w:szCs w:val="18"/>
              </w:rPr>
            </w:pPr>
            <w:r w:rsidRPr="00C7769A">
              <w:rPr>
                <w:b/>
                <w:color w:val="000000"/>
                <w:sz w:val="18"/>
                <w:szCs w:val="18"/>
              </w:rPr>
              <w:t>Author, Year</w:t>
            </w:r>
          </w:p>
        </w:tc>
        <w:tc>
          <w:tcPr>
            <w:tcW w:w="1149" w:type="dxa"/>
            <w:vAlign w:val="bottom"/>
          </w:tcPr>
          <w:p w:rsidR="00CF127C" w:rsidRPr="00C7769A" w:rsidRDefault="00CF127C" w:rsidP="0084105C">
            <w:pPr>
              <w:jc w:val="center"/>
              <w:rPr>
                <w:b/>
                <w:color w:val="000000"/>
                <w:sz w:val="18"/>
                <w:szCs w:val="18"/>
              </w:rPr>
            </w:pPr>
            <w:r w:rsidRPr="00C7769A">
              <w:rPr>
                <w:b/>
                <w:color w:val="000000"/>
                <w:sz w:val="18"/>
                <w:szCs w:val="18"/>
              </w:rPr>
              <w:t>Type of Study</w:t>
            </w:r>
          </w:p>
        </w:tc>
        <w:tc>
          <w:tcPr>
            <w:tcW w:w="1980" w:type="dxa"/>
            <w:vAlign w:val="bottom"/>
          </w:tcPr>
          <w:p w:rsidR="00CF127C" w:rsidRPr="00C7769A" w:rsidRDefault="00CF127C" w:rsidP="0084105C">
            <w:pPr>
              <w:jc w:val="center"/>
              <w:rPr>
                <w:b/>
                <w:color w:val="000000"/>
                <w:sz w:val="18"/>
                <w:szCs w:val="18"/>
              </w:rPr>
            </w:pPr>
            <w:r w:rsidRPr="00C7769A">
              <w:rPr>
                <w:b/>
                <w:color w:val="000000"/>
                <w:sz w:val="18"/>
                <w:szCs w:val="18"/>
              </w:rPr>
              <w:t>Objective</w:t>
            </w:r>
          </w:p>
          <w:p w:rsidR="00CF127C" w:rsidRPr="00C7769A" w:rsidRDefault="00CF127C" w:rsidP="0084105C">
            <w:pPr>
              <w:jc w:val="center"/>
              <w:rPr>
                <w:b/>
                <w:i/>
                <w:color w:val="000000"/>
                <w:sz w:val="18"/>
                <w:szCs w:val="18"/>
              </w:rPr>
            </w:pPr>
            <w:r w:rsidRPr="00C7769A">
              <w:rPr>
                <w:b/>
                <w:i/>
                <w:color w:val="000000"/>
                <w:sz w:val="18"/>
                <w:szCs w:val="18"/>
              </w:rPr>
              <w:t>(Type of MCE)</w:t>
            </w:r>
          </w:p>
        </w:tc>
        <w:tc>
          <w:tcPr>
            <w:tcW w:w="1080" w:type="dxa"/>
            <w:vAlign w:val="bottom"/>
          </w:tcPr>
          <w:p w:rsidR="00CF127C" w:rsidRPr="00C7769A" w:rsidRDefault="00CF127C" w:rsidP="0084105C">
            <w:pPr>
              <w:jc w:val="center"/>
              <w:rPr>
                <w:b/>
                <w:color w:val="000000"/>
                <w:sz w:val="18"/>
                <w:szCs w:val="18"/>
              </w:rPr>
            </w:pPr>
            <w:r w:rsidRPr="00C7769A">
              <w:rPr>
                <w:b/>
                <w:color w:val="000000"/>
                <w:sz w:val="18"/>
                <w:szCs w:val="18"/>
              </w:rPr>
              <w:t>Study Location</w:t>
            </w:r>
          </w:p>
        </w:tc>
        <w:tc>
          <w:tcPr>
            <w:tcW w:w="1620" w:type="dxa"/>
            <w:vAlign w:val="bottom"/>
          </w:tcPr>
          <w:p w:rsidR="00CF127C" w:rsidRPr="00C7769A" w:rsidRDefault="00CF127C" w:rsidP="0084105C">
            <w:pPr>
              <w:jc w:val="center"/>
              <w:rPr>
                <w:b/>
                <w:color w:val="000000"/>
                <w:sz w:val="18"/>
                <w:szCs w:val="18"/>
              </w:rPr>
            </w:pPr>
            <w:r w:rsidRPr="00C7769A">
              <w:rPr>
                <w:b/>
                <w:color w:val="000000"/>
                <w:sz w:val="18"/>
                <w:szCs w:val="18"/>
              </w:rPr>
              <w:t>Population Characteristics</w:t>
            </w:r>
          </w:p>
          <w:p w:rsidR="00CF127C" w:rsidRPr="00C7769A" w:rsidRDefault="00CF127C" w:rsidP="0084105C">
            <w:pPr>
              <w:jc w:val="center"/>
              <w:rPr>
                <w:b/>
                <w:color w:val="000000"/>
                <w:sz w:val="18"/>
                <w:szCs w:val="18"/>
              </w:rPr>
            </w:pPr>
            <w:r w:rsidRPr="00C7769A">
              <w:rPr>
                <w:b/>
                <w:color w:val="000000"/>
                <w:sz w:val="18"/>
                <w:szCs w:val="18"/>
              </w:rPr>
              <w:t>(n = sample size)</w:t>
            </w:r>
          </w:p>
        </w:tc>
        <w:tc>
          <w:tcPr>
            <w:tcW w:w="5760" w:type="dxa"/>
            <w:vAlign w:val="bottom"/>
          </w:tcPr>
          <w:p w:rsidR="00CF127C" w:rsidRPr="00C7769A" w:rsidRDefault="00CF127C" w:rsidP="0084105C">
            <w:pPr>
              <w:jc w:val="center"/>
              <w:rPr>
                <w:b/>
                <w:color w:val="000000"/>
                <w:sz w:val="18"/>
                <w:szCs w:val="18"/>
              </w:rPr>
            </w:pPr>
            <w:r w:rsidRPr="00C7769A">
              <w:rPr>
                <w:b/>
                <w:color w:val="000000"/>
                <w:sz w:val="18"/>
                <w:szCs w:val="18"/>
              </w:rPr>
              <w:t>Key Findings</w:t>
            </w:r>
          </w:p>
        </w:tc>
        <w:tc>
          <w:tcPr>
            <w:tcW w:w="810" w:type="dxa"/>
            <w:vAlign w:val="bottom"/>
          </w:tcPr>
          <w:p w:rsidR="00CF127C" w:rsidRPr="00C7769A" w:rsidRDefault="00CF127C" w:rsidP="0084105C">
            <w:pPr>
              <w:jc w:val="center"/>
              <w:rPr>
                <w:b/>
                <w:color w:val="000000"/>
                <w:sz w:val="18"/>
                <w:szCs w:val="18"/>
              </w:rPr>
            </w:pPr>
            <w:r w:rsidRPr="00C7769A">
              <w:rPr>
                <w:b/>
                <w:color w:val="000000"/>
                <w:sz w:val="18"/>
                <w:szCs w:val="18"/>
              </w:rPr>
              <w:t>Quality Score (of 7)</w:t>
            </w:r>
          </w:p>
        </w:tc>
      </w:tr>
      <w:tr w:rsidR="00CF127C" w:rsidRPr="00C7769A" w:rsidTr="0084105C">
        <w:trPr>
          <w:cantSplit/>
          <w:trHeight w:val="2231"/>
        </w:trPr>
        <w:tc>
          <w:tcPr>
            <w:tcW w:w="1116" w:type="dxa"/>
          </w:tcPr>
          <w:p w:rsidR="00CF127C" w:rsidRPr="00C7769A" w:rsidRDefault="00CF127C" w:rsidP="0084105C">
            <w:pPr>
              <w:rPr>
                <w:color w:val="000000"/>
                <w:sz w:val="18"/>
                <w:szCs w:val="18"/>
              </w:rPr>
            </w:pPr>
            <w:r w:rsidRPr="00C7769A">
              <w:rPr>
                <w:color w:val="000000"/>
                <w:sz w:val="18"/>
                <w:szCs w:val="18"/>
              </w:rPr>
              <w:t xml:space="preserve">Bailey, 2011 </w:t>
            </w:r>
            <w:r w:rsidRPr="0023334B">
              <w:rPr>
                <w:noProof/>
                <w:color w:val="000000"/>
                <w:sz w:val="18"/>
                <w:szCs w:val="18"/>
                <w:vertAlign w:val="superscript"/>
              </w:rPr>
              <w:t>181</w:t>
            </w:r>
          </w:p>
        </w:tc>
        <w:tc>
          <w:tcPr>
            <w:tcW w:w="1149" w:type="dxa"/>
          </w:tcPr>
          <w:p w:rsidR="00CF127C" w:rsidRPr="00C7769A" w:rsidRDefault="00CF127C" w:rsidP="0084105C">
            <w:pPr>
              <w:rPr>
                <w:color w:val="000000"/>
                <w:sz w:val="18"/>
                <w:szCs w:val="18"/>
              </w:rPr>
            </w:pPr>
            <w:r w:rsidRPr="00C7769A">
              <w:rPr>
                <w:color w:val="000000"/>
                <w:sz w:val="18"/>
                <w:szCs w:val="18"/>
              </w:rPr>
              <w:t>Web-based survey</w:t>
            </w:r>
          </w:p>
        </w:tc>
        <w:tc>
          <w:tcPr>
            <w:tcW w:w="1980" w:type="dxa"/>
          </w:tcPr>
          <w:p w:rsidR="00CF127C" w:rsidRPr="00C7769A" w:rsidRDefault="00CF127C" w:rsidP="0084105C">
            <w:pPr>
              <w:rPr>
                <w:color w:val="000000"/>
                <w:sz w:val="18"/>
                <w:szCs w:val="18"/>
              </w:rPr>
            </w:pPr>
            <w:r w:rsidRPr="00C7769A">
              <w:rPr>
                <w:color w:val="000000"/>
                <w:sz w:val="18"/>
                <w:szCs w:val="18"/>
              </w:rPr>
              <w:t>To investigate the views of students and staff at the university on the allocation of scarce resources during an influenza pandemic</w:t>
            </w:r>
          </w:p>
          <w:p w:rsidR="00CF127C" w:rsidRPr="00C7769A" w:rsidRDefault="00CF127C" w:rsidP="0084105C">
            <w:pPr>
              <w:rPr>
                <w:color w:val="000000"/>
                <w:sz w:val="18"/>
                <w:szCs w:val="18"/>
              </w:rPr>
            </w:pPr>
          </w:p>
          <w:p w:rsidR="00CF127C" w:rsidRPr="00C7769A" w:rsidRDefault="00CF127C" w:rsidP="0084105C">
            <w:pPr>
              <w:jc w:val="center"/>
              <w:rPr>
                <w:i/>
                <w:color w:val="000000"/>
                <w:sz w:val="18"/>
                <w:szCs w:val="18"/>
              </w:rPr>
            </w:pPr>
            <w:r w:rsidRPr="00C7769A">
              <w:rPr>
                <w:i/>
                <w:color w:val="000000"/>
                <w:sz w:val="18"/>
                <w:szCs w:val="18"/>
              </w:rPr>
              <w:t>(pandemic influenza)</w:t>
            </w:r>
          </w:p>
        </w:tc>
        <w:tc>
          <w:tcPr>
            <w:tcW w:w="1080" w:type="dxa"/>
          </w:tcPr>
          <w:p w:rsidR="00CF127C" w:rsidRPr="00C7769A" w:rsidRDefault="00CF127C" w:rsidP="0084105C">
            <w:pPr>
              <w:jc w:val="center"/>
              <w:rPr>
                <w:color w:val="000000"/>
                <w:sz w:val="18"/>
                <w:szCs w:val="18"/>
              </w:rPr>
            </w:pPr>
            <w:smartTag w:uri="urn:schemas-microsoft-com:office:smarttags" w:element="place">
              <w:smartTag w:uri="urn:schemas-microsoft-com:office:smarttags" w:element="City">
                <w:r w:rsidRPr="00C7769A">
                  <w:rPr>
                    <w:color w:val="000000"/>
                    <w:sz w:val="18"/>
                    <w:szCs w:val="18"/>
                  </w:rPr>
                  <w:t>Edmonton</w:t>
                </w:r>
              </w:smartTag>
              <w:r w:rsidRPr="00C7769A">
                <w:rPr>
                  <w:color w:val="000000"/>
                  <w:sz w:val="18"/>
                  <w:szCs w:val="18"/>
                </w:rPr>
                <w:t xml:space="preserve">, </w:t>
              </w:r>
              <w:smartTag w:uri="urn:schemas-microsoft-com:office:smarttags" w:element="country-region">
                <w:r w:rsidRPr="00C7769A">
                  <w:rPr>
                    <w:color w:val="000000"/>
                    <w:sz w:val="18"/>
                    <w:szCs w:val="18"/>
                  </w:rPr>
                  <w:t>Canada</w:t>
                </w:r>
              </w:smartTag>
            </w:smartTag>
          </w:p>
        </w:tc>
        <w:tc>
          <w:tcPr>
            <w:tcW w:w="1620" w:type="dxa"/>
          </w:tcPr>
          <w:p w:rsidR="00CF127C" w:rsidRPr="00C7769A" w:rsidRDefault="00CF127C" w:rsidP="0084105C">
            <w:pPr>
              <w:rPr>
                <w:color w:val="000000"/>
                <w:sz w:val="18"/>
                <w:szCs w:val="18"/>
              </w:rPr>
            </w:pPr>
            <w:r w:rsidRPr="00C7769A">
              <w:rPr>
                <w:color w:val="000000"/>
                <w:sz w:val="18"/>
                <w:szCs w:val="18"/>
              </w:rPr>
              <w:t xml:space="preserve">Students and staff at </w:t>
            </w:r>
            <w:smartTag w:uri="urn:schemas-microsoft-com:office:smarttags" w:element="place">
              <w:smartTag w:uri="urn:schemas-microsoft-com:office:smarttags" w:element="PlaceType">
                <w:r w:rsidRPr="00C7769A">
                  <w:rPr>
                    <w:color w:val="000000"/>
                    <w:sz w:val="18"/>
                    <w:szCs w:val="18"/>
                  </w:rPr>
                  <w:t>University</w:t>
                </w:r>
              </w:smartTag>
              <w:r w:rsidRPr="00C7769A">
                <w:rPr>
                  <w:color w:val="000000"/>
                  <w:sz w:val="18"/>
                  <w:szCs w:val="18"/>
                </w:rPr>
                <w:t xml:space="preserve"> of </w:t>
              </w:r>
              <w:smartTag w:uri="urn:schemas-microsoft-com:office:smarttags" w:element="PlaceName">
                <w:r w:rsidRPr="00C7769A">
                  <w:rPr>
                    <w:color w:val="000000"/>
                    <w:sz w:val="18"/>
                    <w:szCs w:val="18"/>
                  </w:rPr>
                  <w:t>Alberta</w:t>
                </w:r>
              </w:smartTag>
            </w:smartTag>
            <w:r w:rsidRPr="00C7769A">
              <w:rPr>
                <w:color w:val="000000"/>
                <w:sz w:val="18"/>
                <w:szCs w:val="18"/>
              </w:rPr>
              <w:t>; 70% females</w:t>
            </w:r>
          </w:p>
          <w:p w:rsidR="00CF127C" w:rsidRPr="00C7769A" w:rsidRDefault="00CF127C" w:rsidP="0084105C">
            <w:pP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 5,220)</w:t>
            </w:r>
          </w:p>
        </w:tc>
        <w:tc>
          <w:tcPr>
            <w:tcW w:w="5760" w:type="dxa"/>
          </w:tcPr>
          <w:p w:rsidR="00CF127C" w:rsidRPr="00C7769A" w:rsidRDefault="00CF127C" w:rsidP="0084105C">
            <w:pPr>
              <w:rPr>
                <w:color w:val="000000"/>
                <w:sz w:val="18"/>
                <w:szCs w:val="18"/>
              </w:rPr>
            </w:pPr>
            <w:r w:rsidRPr="00C7769A">
              <w:rPr>
                <w:i/>
                <w:color w:val="000000"/>
                <w:sz w:val="18"/>
                <w:szCs w:val="18"/>
              </w:rPr>
              <w:t>Resource Allocation Policy:</w:t>
            </w:r>
            <w:r w:rsidRPr="00C7769A">
              <w:rPr>
                <w:color w:val="000000"/>
                <w:sz w:val="18"/>
                <w:szCs w:val="18"/>
              </w:rPr>
              <w:br/>
              <w:t>1. The goals of the allocation system include: save the most lives, follow a ranking system, and save those most likely to die, with most respondents supporting "save the most lives".</w:t>
            </w:r>
            <w:r w:rsidRPr="00C7769A">
              <w:rPr>
                <w:color w:val="000000"/>
                <w:sz w:val="18"/>
                <w:szCs w:val="18"/>
              </w:rPr>
              <w:br/>
            </w:r>
            <w:r w:rsidRPr="00C7769A">
              <w:rPr>
                <w:color w:val="000000"/>
                <w:sz w:val="18"/>
                <w:szCs w:val="18"/>
              </w:rPr>
              <w:br/>
            </w:r>
            <w:r w:rsidRPr="00C7769A">
              <w:rPr>
                <w:i/>
                <w:color w:val="000000"/>
                <w:sz w:val="18"/>
                <w:szCs w:val="18"/>
              </w:rPr>
              <w:t>Priority Criteria:</w:t>
            </w:r>
            <w:r w:rsidRPr="00C7769A">
              <w:rPr>
                <w:color w:val="000000"/>
                <w:sz w:val="18"/>
                <w:szCs w:val="18"/>
              </w:rPr>
              <w:br/>
              <w:t>1. Most respondents gave the highest priority to health care workers and emergency workers , followed by children;</w:t>
            </w:r>
            <w:r w:rsidRPr="00C7769A">
              <w:rPr>
                <w:color w:val="000000"/>
                <w:sz w:val="18"/>
                <w:szCs w:val="18"/>
              </w:rPr>
              <w:br/>
              <w:t xml:space="preserve">2. Lower priority was given to politicians; </w:t>
            </w:r>
            <w:r w:rsidRPr="00C7769A">
              <w:rPr>
                <w:color w:val="000000"/>
                <w:sz w:val="18"/>
                <w:szCs w:val="18"/>
              </w:rPr>
              <w:br/>
              <w:t>3. "First come, first served" was least preferred.</w:t>
            </w:r>
          </w:p>
        </w:tc>
        <w:tc>
          <w:tcPr>
            <w:tcW w:w="810" w:type="dxa"/>
          </w:tcPr>
          <w:p w:rsidR="00CF127C" w:rsidRPr="00C7769A" w:rsidRDefault="00CF127C" w:rsidP="0084105C">
            <w:pPr>
              <w:jc w:val="center"/>
              <w:rPr>
                <w:color w:val="000000"/>
                <w:sz w:val="18"/>
                <w:szCs w:val="18"/>
              </w:rPr>
            </w:pPr>
            <w:r w:rsidRPr="00C7769A">
              <w:rPr>
                <w:color w:val="000000"/>
                <w:sz w:val="18"/>
                <w:szCs w:val="18"/>
              </w:rPr>
              <w:t>5</w:t>
            </w:r>
          </w:p>
        </w:tc>
      </w:tr>
      <w:tr w:rsidR="00CF127C" w:rsidRPr="00C7769A" w:rsidTr="0084105C">
        <w:trPr>
          <w:cantSplit/>
          <w:trHeight w:val="2339"/>
        </w:trPr>
        <w:tc>
          <w:tcPr>
            <w:tcW w:w="1116" w:type="dxa"/>
          </w:tcPr>
          <w:p w:rsidR="00CF127C" w:rsidRPr="00C7769A" w:rsidRDefault="00CF127C" w:rsidP="0084105C">
            <w:pPr>
              <w:rPr>
                <w:color w:val="000000"/>
                <w:sz w:val="18"/>
                <w:szCs w:val="18"/>
              </w:rPr>
            </w:pPr>
            <w:r w:rsidRPr="00C7769A">
              <w:rPr>
                <w:color w:val="000000"/>
                <w:sz w:val="18"/>
                <w:szCs w:val="18"/>
              </w:rPr>
              <w:t xml:space="preserve">Braunack-Mayer, 2010 </w:t>
            </w:r>
            <w:r w:rsidRPr="0023334B">
              <w:rPr>
                <w:noProof/>
                <w:color w:val="000000"/>
                <w:sz w:val="18"/>
                <w:szCs w:val="18"/>
                <w:vertAlign w:val="superscript"/>
              </w:rPr>
              <w:t>176</w:t>
            </w:r>
          </w:p>
        </w:tc>
        <w:tc>
          <w:tcPr>
            <w:tcW w:w="1149" w:type="dxa"/>
          </w:tcPr>
          <w:p w:rsidR="00CF127C" w:rsidRPr="00C7769A" w:rsidRDefault="00CF127C" w:rsidP="0084105C">
            <w:pPr>
              <w:rPr>
                <w:color w:val="000000"/>
                <w:sz w:val="18"/>
                <w:szCs w:val="18"/>
              </w:rPr>
            </w:pPr>
            <w:r w:rsidRPr="00C7769A">
              <w:rPr>
                <w:color w:val="000000"/>
                <w:sz w:val="18"/>
                <w:szCs w:val="18"/>
              </w:rPr>
              <w:t>Deliberative forum</w:t>
            </w:r>
          </w:p>
        </w:tc>
        <w:tc>
          <w:tcPr>
            <w:tcW w:w="1980" w:type="dxa"/>
          </w:tcPr>
          <w:p w:rsidR="00CF127C" w:rsidRPr="00C7769A" w:rsidRDefault="00CF127C" w:rsidP="0084105C">
            <w:pPr>
              <w:rPr>
                <w:color w:val="000000"/>
                <w:sz w:val="18"/>
                <w:szCs w:val="18"/>
              </w:rPr>
            </w:pPr>
            <w:r w:rsidRPr="00C7769A">
              <w:rPr>
                <w:color w:val="000000"/>
                <w:sz w:val="18"/>
                <w:szCs w:val="18"/>
              </w:rPr>
              <w:t>To elucidate informed community perspectives on the allocation of scarce pharmaceuticals in a pandemic</w:t>
            </w:r>
          </w:p>
          <w:p w:rsidR="00CF127C" w:rsidRPr="00C7769A" w:rsidRDefault="00CF127C" w:rsidP="0084105C">
            <w:pPr>
              <w:rPr>
                <w:color w:val="000000"/>
                <w:sz w:val="18"/>
                <w:szCs w:val="18"/>
              </w:rPr>
            </w:pPr>
          </w:p>
          <w:p w:rsidR="00CF127C" w:rsidRPr="00C7769A" w:rsidRDefault="00CF127C" w:rsidP="0084105C">
            <w:pPr>
              <w:jc w:val="center"/>
              <w:rPr>
                <w:i/>
                <w:color w:val="000000"/>
                <w:sz w:val="18"/>
                <w:szCs w:val="18"/>
              </w:rPr>
            </w:pPr>
            <w:r w:rsidRPr="00C7769A">
              <w:rPr>
                <w:i/>
                <w:color w:val="000000"/>
                <w:sz w:val="18"/>
                <w:szCs w:val="18"/>
              </w:rPr>
              <w:t>(pandemic influenza)</w:t>
            </w:r>
          </w:p>
        </w:tc>
        <w:tc>
          <w:tcPr>
            <w:tcW w:w="1080" w:type="dxa"/>
          </w:tcPr>
          <w:p w:rsidR="00CF127C" w:rsidRPr="00C7769A" w:rsidRDefault="00CF127C" w:rsidP="0084105C">
            <w:pPr>
              <w:jc w:val="center"/>
              <w:rPr>
                <w:color w:val="000000"/>
                <w:sz w:val="18"/>
                <w:szCs w:val="18"/>
              </w:rPr>
            </w:pPr>
            <w:smartTag w:uri="urn:schemas-microsoft-com:office:smarttags" w:element="place">
              <w:smartTag w:uri="urn:schemas-microsoft-com:office:smarttags" w:element="City">
                <w:r w:rsidRPr="00C7769A">
                  <w:rPr>
                    <w:color w:val="000000"/>
                    <w:sz w:val="18"/>
                    <w:szCs w:val="18"/>
                  </w:rPr>
                  <w:t>Adelaide</w:t>
                </w:r>
              </w:smartTag>
              <w:r w:rsidRPr="00C7769A">
                <w:rPr>
                  <w:color w:val="000000"/>
                  <w:sz w:val="18"/>
                  <w:szCs w:val="18"/>
                </w:rPr>
                <w:t xml:space="preserve">, </w:t>
              </w:r>
              <w:smartTag w:uri="urn:schemas-microsoft-com:office:smarttags" w:element="country-region">
                <w:r w:rsidRPr="00C7769A">
                  <w:rPr>
                    <w:color w:val="000000"/>
                    <w:sz w:val="18"/>
                    <w:szCs w:val="18"/>
                  </w:rPr>
                  <w:t>Australia</w:t>
                </w:r>
              </w:smartTag>
            </w:smartTag>
          </w:p>
        </w:tc>
        <w:tc>
          <w:tcPr>
            <w:tcW w:w="1620" w:type="dxa"/>
          </w:tcPr>
          <w:p w:rsidR="00CF127C" w:rsidRPr="00C7769A" w:rsidRDefault="00CF127C" w:rsidP="0084105C">
            <w:pPr>
              <w:jc w:val="center"/>
              <w:rPr>
                <w:color w:val="000000"/>
                <w:sz w:val="18"/>
                <w:szCs w:val="18"/>
              </w:rPr>
            </w:pPr>
            <w:r w:rsidRPr="00C7769A">
              <w:rPr>
                <w:color w:val="000000"/>
                <w:sz w:val="18"/>
                <w:szCs w:val="18"/>
              </w:rPr>
              <w:t>6 females</w:t>
            </w:r>
          </w:p>
          <w:p w:rsidR="00CF127C" w:rsidRPr="00C7769A" w:rsidRDefault="00CF127C" w:rsidP="0084105C">
            <w:pPr>
              <w:jc w:val="cente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 9)</w:t>
            </w:r>
          </w:p>
          <w:p w:rsidR="00CF127C" w:rsidRPr="00C7769A" w:rsidRDefault="00CF127C" w:rsidP="0084105C">
            <w:pPr>
              <w:rPr>
                <w:color w:val="000000"/>
                <w:sz w:val="18"/>
                <w:szCs w:val="18"/>
              </w:rPr>
            </w:pPr>
          </w:p>
        </w:tc>
        <w:tc>
          <w:tcPr>
            <w:tcW w:w="5760" w:type="dxa"/>
          </w:tcPr>
          <w:p w:rsidR="00CF127C" w:rsidRPr="00C7769A" w:rsidRDefault="00CF127C" w:rsidP="0084105C">
            <w:pPr>
              <w:rPr>
                <w:color w:val="000000"/>
                <w:sz w:val="18"/>
                <w:szCs w:val="18"/>
              </w:rPr>
            </w:pPr>
            <w:r w:rsidRPr="00C7769A">
              <w:rPr>
                <w:i/>
                <w:color w:val="000000"/>
                <w:sz w:val="18"/>
                <w:szCs w:val="18"/>
              </w:rPr>
              <w:t xml:space="preserve">Resource Allocation Policy: </w:t>
            </w:r>
            <w:r w:rsidRPr="00C7769A">
              <w:rPr>
                <w:i/>
                <w:color w:val="000000"/>
                <w:sz w:val="18"/>
                <w:szCs w:val="18"/>
              </w:rPr>
              <w:br/>
            </w:r>
            <w:r w:rsidRPr="00C7769A">
              <w:rPr>
                <w:color w:val="000000"/>
                <w:sz w:val="18"/>
                <w:szCs w:val="18"/>
              </w:rPr>
              <w:t>1. Preserving society in the long run, rather than saving the most lives, was the goal if forced to choose between the two.</w:t>
            </w:r>
            <w:r w:rsidRPr="00C7769A">
              <w:rPr>
                <w:color w:val="000000"/>
                <w:sz w:val="18"/>
                <w:szCs w:val="18"/>
              </w:rPr>
              <w:br/>
            </w:r>
            <w:r w:rsidRPr="00C7769A">
              <w:rPr>
                <w:color w:val="000000"/>
                <w:sz w:val="18"/>
                <w:szCs w:val="18"/>
              </w:rPr>
              <w:br/>
            </w:r>
            <w:r w:rsidRPr="00C7769A">
              <w:rPr>
                <w:i/>
                <w:color w:val="000000"/>
                <w:sz w:val="18"/>
                <w:szCs w:val="18"/>
              </w:rPr>
              <w:t xml:space="preserve">Priority Criteria: </w:t>
            </w:r>
            <w:r w:rsidRPr="00C7769A">
              <w:rPr>
                <w:i/>
                <w:color w:val="000000"/>
                <w:sz w:val="18"/>
                <w:szCs w:val="18"/>
              </w:rPr>
              <w:br/>
            </w:r>
            <w:r w:rsidRPr="00C7769A">
              <w:rPr>
                <w:color w:val="000000"/>
                <w:sz w:val="18"/>
                <w:szCs w:val="18"/>
              </w:rPr>
              <w:t xml:space="preserve">1. Priorities should be given to the following potential recipients in the order of: health care workers, researchers and laboratory staff dealing with pandemic influenza, essential services (water, power, waste, etc.), and military; </w:t>
            </w:r>
            <w:r w:rsidRPr="00C7769A">
              <w:rPr>
                <w:color w:val="000000"/>
                <w:sz w:val="18"/>
                <w:szCs w:val="18"/>
              </w:rPr>
              <w:br/>
              <w:t>2. The elderly and the chronically ill were explicitly excluded from the list of potential recipients.</w:t>
            </w:r>
          </w:p>
        </w:tc>
        <w:tc>
          <w:tcPr>
            <w:tcW w:w="810" w:type="dxa"/>
          </w:tcPr>
          <w:p w:rsidR="00CF127C" w:rsidRPr="00C7769A" w:rsidRDefault="00CF127C" w:rsidP="0084105C">
            <w:pPr>
              <w:jc w:val="center"/>
              <w:rPr>
                <w:color w:val="000000"/>
                <w:sz w:val="18"/>
                <w:szCs w:val="18"/>
              </w:rPr>
            </w:pPr>
            <w:r w:rsidRPr="00C7769A">
              <w:rPr>
                <w:color w:val="000000"/>
                <w:sz w:val="18"/>
                <w:szCs w:val="18"/>
              </w:rPr>
              <w:t>3</w:t>
            </w:r>
          </w:p>
        </w:tc>
      </w:tr>
      <w:tr w:rsidR="00CF127C" w:rsidRPr="00C7769A" w:rsidTr="0084105C">
        <w:trPr>
          <w:cantSplit/>
          <w:trHeight w:val="2231"/>
        </w:trPr>
        <w:tc>
          <w:tcPr>
            <w:tcW w:w="1116" w:type="dxa"/>
          </w:tcPr>
          <w:p w:rsidR="00CF127C" w:rsidRPr="00C7769A" w:rsidRDefault="00CF127C" w:rsidP="0084105C">
            <w:pPr>
              <w:rPr>
                <w:color w:val="000000"/>
                <w:sz w:val="18"/>
                <w:szCs w:val="18"/>
              </w:rPr>
            </w:pPr>
            <w:r w:rsidRPr="00C7769A">
              <w:rPr>
                <w:color w:val="000000"/>
                <w:sz w:val="18"/>
                <w:szCs w:val="18"/>
              </w:rPr>
              <w:t>de Carvalho Fortes, 2002</w:t>
            </w:r>
            <w:r w:rsidRPr="0023334B">
              <w:rPr>
                <w:noProof/>
                <w:color w:val="000000"/>
                <w:sz w:val="18"/>
                <w:szCs w:val="18"/>
                <w:vertAlign w:val="superscript"/>
              </w:rPr>
              <w:t>183</w:t>
            </w:r>
          </w:p>
        </w:tc>
        <w:tc>
          <w:tcPr>
            <w:tcW w:w="1149" w:type="dxa"/>
          </w:tcPr>
          <w:p w:rsidR="00CF127C" w:rsidRPr="00C7769A" w:rsidRDefault="00CF127C" w:rsidP="0084105C">
            <w:pPr>
              <w:rPr>
                <w:color w:val="000000"/>
                <w:sz w:val="18"/>
                <w:szCs w:val="18"/>
              </w:rPr>
            </w:pPr>
            <w:r w:rsidRPr="00C7769A">
              <w:rPr>
                <w:color w:val="000000"/>
                <w:sz w:val="18"/>
                <w:szCs w:val="18"/>
              </w:rPr>
              <w:t>Interview-based survey</w:t>
            </w:r>
          </w:p>
        </w:tc>
        <w:tc>
          <w:tcPr>
            <w:tcW w:w="1980" w:type="dxa"/>
          </w:tcPr>
          <w:p w:rsidR="00CF127C" w:rsidRPr="00C7769A" w:rsidRDefault="00CF127C" w:rsidP="0084105C">
            <w:pPr>
              <w:rPr>
                <w:color w:val="000000"/>
                <w:sz w:val="18"/>
                <w:szCs w:val="18"/>
              </w:rPr>
            </w:pPr>
            <w:r w:rsidRPr="00C7769A">
              <w:rPr>
                <w:color w:val="000000"/>
                <w:sz w:val="18"/>
                <w:szCs w:val="18"/>
              </w:rPr>
              <w:t>To explore the public's views regarding priorities for allocating scarce resources during surge/emergencies</w:t>
            </w:r>
          </w:p>
        </w:tc>
        <w:tc>
          <w:tcPr>
            <w:tcW w:w="1080" w:type="dxa"/>
          </w:tcPr>
          <w:p w:rsidR="00CF127C" w:rsidRPr="00C7769A" w:rsidRDefault="00CF127C" w:rsidP="0084105C">
            <w:pPr>
              <w:jc w:val="center"/>
              <w:rPr>
                <w:color w:val="000000"/>
                <w:sz w:val="18"/>
                <w:szCs w:val="18"/>
              </w:rPr>
            </w:pPr>
            <w:smartTag w:uri="urn:schemas-microsoft-com:office:smarttags" w:element="place">
              <w:smartTag w:uri="urn:schemas-microsoft-com:office:smarttags" w:element="City">
                <w:r w:rsidRPr="00C7769A">
                  <w:rPr>
                    <w:color w:val="000000"/>
                    <w:sz w:val="18"/>
                    <w:szCs w:val="18"/>
                  </w:rPr>
                  <w:t>São Paulo</w:t>
                </w:r>
              </w:smartTag>
              <w:r w:rsidRPr="00C7769A">
                <w:rPr>
                  <w:color w:val="000000"/>
                  <w:sz w:val="18"/>
                  <w:szCs w:val="18"/>
                </w:rPr>
                <w:t xml:space="preserve">, </w:t>
              </w:r>
              <w:smartTag w:uri="urn:schemas-microsoft-com:office:smarttags" w:element="country-region">
                <w:r w:rsidRPr="00C7769A">
                  <w:rPr>
                    <w:color w:val="000000"/>
                    <w:sz w:val="18"/>
                    <w:szCs w:val="18"/>
                  </w:rPr>
                  <w:t>Brazil</w:t>
                </w:r>
              </w:smartTag>
            </w:smartTag>
          </w:p>
        </w:tc>
        <w:tc>
          <w:tcPr>
            <w:tcW w:w="1620" w:type="dxa"/>
          </w:tcPr>
          <w:p w:rsidR="00CF127C" w:rsidRPr="00C7769A" w:rsidRDefault="00CF127C" w:rsidP="0084105C">
            <w:pPr>
              <w:rPr>
                <w:color w:val="000000"/>
                <w:sz w:val="18"/>
                <w:szCs w:val="18"/>
              </w:rPr>
            </w:pPr>
            <w:r w:rsidRPr="00C7769A">
              <w:rPr>
                <w:color w:val="000000"/>
                <w:sz w:val="18"/>
                <w:szCs w:val="18"/>
              </w:rPr>
              <w:t xml:space="preserve">Persons visiting patients in one public hospital </w:t>
            </w:r>
          </w:p>
          <w:p w:rsidR="00CF127C" w:rsidRPr="00C7769A" w:rsidRDefault="00CF127C" w:rsidP="0084105C">
            <w:pPr>
              <w:rPr>
                <w:color w:val="000000"/>
                <w:sz w:val="18"/>
                <w:szCs w:val="18"/>
              </w:rPr>
            </w:pPr>
            <w:r w:rsidRPr="00C7769A">
              <w:rPr>
                <w:color w:val="000000"/>
                <w:sz w:val="18"/>
                <w:szCs w:val="18"/>
              </w:rPr>
              <w:t>n=395; 147 male, 248 female</w:t>
            </w:r>
          </w:p>
        </w:tc>
        <w:tc>
          <w:tcPr>
            <w:tcW w:w="5760" w:type="dxa"/>
          </w:tcPr>
          <w:p w:rsidR="00CF127C" w:rsidRPr="00C7769A" w:rsidRDefault="00CF127C" w:rsidP="0084105C">
            <w:pPr>
              <w:rPr>
                <w:color w:val="000000"/>
                <w:sz w:val="18"/>
                <w:szCs w:val="18"/>
              </w:rPr>
            </w:pPr>
            <w:r w:rsidRPr="00C7769A">
              <w:rPr>
                <w:color w:val="000000"/>
                <w:sz w:val="18"/>
                <w:szCs w:val="18"/>
              </w:rPr>
              <w:t>Majority of survey respondents accept social values driving decisions regarding allocation of scarce resources, largely based on justice, equity, and priority for the most vulnerable</w:t>
            </w:r>
          </w:p>
          <w:p w:rsidR="00CF127C" w:rsidRPr="00C7769A" w:rsidRDefault="00CF127C" w:rsidP="0084105C">
            <w:pPr>
              <w:rPr>
                <w:color w:val="000000"/>
                <w:sz w:val="18"/>
                <w:szCs w:val="18"/>
              </w:rPr>
            </w:pPr>
            <w:r w:rsidRPr="00C7769A">
              <w:rPr>
                <w:color w:val="000000"/>
                <w:sz w:val="18"/>
                <w:szCs w:val="18"/>
              </w:rPr>
              <w:t>Examples: In hypothetical scenarios, majority favored scarce resources for a 7-yr old over 65-yr old; 7-yr old over 1-yr old; 65-yr old over 25-yr old males; mother of more children over mother of fewer children; married female over single female; out-of-town male over male resident; poor female over rich female; unemployed over employed person</w:t>
            </w:r>
          </w:p>
        </w:tc>
        <w:tc>
          <w:tcPr>
            <w:tcW w:w="810" w:type="dxa"/>
          </w:tcPr>
          <w:p w:rsidR="00CF127C" w:rsidRPr="00C7769A" w:rsidRDefault="00CF127C" w:rsidP="0084105C">
            <w:pPr>
              <w:jc w:val="center"/>
              <w:rPr>
                <w:color w:val="000000"/>
                <w:sz w:val="18"/>
                <w:szCs w:val="18"/>
              </w:rPr>
            </w:pPr>
            <w:r w:rsidRPr="00C7769A">
              <w:rPr>
                <w:color w:val="000000"/>
                <w:sz w:val="18"/>
                <w:szCs w:val="18"/>
              </w:rPr>
              <w:t>5</w:t>
            </w:r>
          </w:p>
        </w:tc>
      </w:tr>
      <w:tr w:rsidR="00CF127C" w:rsidRPr="00C7769A" w:rsidTr="0084105C">
        <w:trPr>
          <w:cantSplit/>
          <w:trHeight w:val="2411"/>
        </w:trPr>
        <w:tc>
          <w:tcPr>
            <w:tcW w:w="1116" w:type="dxa"/>
          </w:tcPr>
          <w:p w:rsidR="00CF127C" w:rsidRPr="00C7769A" w:rsidRDefault="00CF127C" w:rsidP="0084105C">
            <w:pPr>
              <w:rPr>
                <w:color w:val="000000"/>
                <w:sz w:val="18"/>
                <w:szCs w:val="18"/>
              </w:rPr>
            </w:pPr>
            <w:r w:rsidRPr="00C7769A">
              <w:rPr>
                <w:color w:val="000000"/>
                <w:sz w:val="18"/>
                <w:szCs w:val="18"/>
              </w:rPr>
              <w:lastRenderedPageBreak/>
              <w:t xml:space="preserve">Docter, 2011 </w:t>
            </w:r>
            <w:r w:rsidRPr="0023334B">
              <w:rPr>
                <w:noProof/>
                <w:color w:val="000000"/>
                <w:sz w:val="18"/>
                <w:szCs w:val="18"/>
                <w:vertAlign w:val="superscript"/>
              </w:rPr>
              <w:t>175</w:t>
            </w:r>
          </w:p>
        </w:tc>
        <w:tc>
          <w:tcPr>
            <w:tcW w:w="1149" w:type="dxa"/>
          </w:tcPr>
          <w:p w:rsidR="00CF127C" w:rsidRPr="00C7769A" w:rsidRDefault="00CF127C" w:rsidP="0084105C">
            <w:pPr>
              <w:rPr>
                <w:color w:val="000000"/>
                <w:sz w:val="18"/>
                <w:szCs w:val="18"/>
              </w:rPr>
            </w:pPr>
            <w:r w:rsidRPr="00C7769A">
              <w:rPr>
                <w:color w:val="000000"/>
                <w:sz w:val="18"/>
                <w:szCs w:val="18"/>
              </w:rPr>
              <w:t>Deliberative forum</w:t>
            </w:r>
          </w:p>
        </w:tc>
        <w:tc>
          <w:tcPr>
            <w:tcW w:w="1980" w:type="dxa"/>
          </w:tcPr>
          <w:p w:rsidR="00CF127C" w:rsidRPr="00C7769A" w:rsidRDefault="00CF127C" w:rsidP="0084105C">
            <w:pPr>
              <w:rPr>
                <w:color w:val="000000"/>
                <w:sz w:val="18"/>
                <w:szCs w:val="18"/>
              </w:rPr>
            </w:pPr>
            <w:r w:rsidRPr="00C7769A">
              <w:rPr>
                <w:color w:val="000000"/>
                <w:sz w:val="18"/>
                <w:szCs w:val="18"/>
              </w:rPr>
              <w:t>To test how the resource allocation plan of the Australian government (for antiviral drugs and vaccines)  corresponds with community views about the priority groups in a severe pandemic</w:t>
            </w:r>
          </w:p>
          <w:p w:rsidR="00CF127C" w:rsidRPr="00C7769A" w:rsidRDefault="00CF127C" w:rsidP="0084105C">
            <w:pPr>
              <w:jc w:val="center"/>
              <w:rPr>
                <w:color w:val="000000"/>
                <w:sz w:val="18"/>
                <w:szCs w:val="18"/>
              </w:rPr>
            </w:pPr>
          </w:p>
          <w:p w:rsidR="00CF127C" w:rsidRPr="00C7769A" w:rsidRDefault="00CF127C" w:rsidP="0084105C">
            <w:pPr>
              <w:spacing w:after="120"/>
              <w:jc w:val="center"/>
              <w:rPr>
                <w:i/>
                <w:color w:val="000000"/>
                <w:sz w:val="18"/>
                <w:szCs w:val="18"/>
              </w:rPr>
            </w:pPr>
            <w:r w:rsidRPr="00C7769A">
              <w:rPr>
                <w:i/>
                <w:color w:val="000000"/>
                <w:sz w:val="18"/>
                <w:szCs w:val="18"/>
              </w:rPr>
              <w:t>(pandemic influenza)</w:t>
            </w:r>
          </w:p>
        </w:tc>
        <w:tc>
          <w:tcPr>
            <w:tcW w:w="1080" w:type="dxa"/>
          </w:tcPr>
          <w:p w:rsidR="00CF127C" w:rsidRPr="00C7769A" w:rsidRDefault="00CF127C" w:rsidP="0084105C">
            <w:pPr>
              <w:jc w:val="center"/>
              <w:rPr>
                <w:color w:val="000000"/>
                <w:sz w:val="18"/>
                <w:szCs w:val="18"/>
              </w:rPr>
            </w:pPr>
            <w:smartTag w:uri="urn:schemas-microsoft-com:office:smarttags" w:element="place">
              <w:smartTag w:uri="urn:schemas-microsoft-com:office:smarttags" w:element="City">
                <w:r w:rsidRPr="00C7769A">
                  <w:rPr>
                    <w:color w:val="000000"/>
                    <w:sz w:val="18"/>
                    <w:szCs w:val="18"/>
                  </w:rPr>
                  <w:t>Adelaide</w:t>
                </w:r>
              </w:smartTag>
              <w:r w:rsidRPr="00C7769A">
                <w:rPr>
                  <w:color w:val="000000"/>
                  <w:sz w:val="18"/>
                  <w:szCs w:val="18"/>
                </w:rPr>
                <w:t xml:space="preserve">, </w:t>
              </w:r>
              <w:smartTag w:uri="urn:schemas-microsoft-com:office:smarttags" w:element="country-region">
                <w:r w:rsidRPr="00C7769A">
                  <w:rPr>
                    <w:color w:val="000000"/>
                    <w:sz w:val="18"/>
                    <w:szCs w:val="18"/>
                  </w:rPr>
                  <w:t>Australia</w:t>
                </w:r>
              </w:smartTag>
            </w:smartTag>
          </w:p>
        </w:tc>
        <w:tc>
          <w:tcPr>
            <w:tcW w:w="1620" w:type="dxa"/>
          </w:tcPr>
          <w:p w:rsidR="00CF127C" w:rsidRPr="00C7769A" w:rsidRDefault="00CF127C" w:rsidP="0084105C">
            <w:pPr>
              <w:rPr>
                <w:color w:val="000000"/>
                <w:sz w:val="18"/>
                <w:szCs w:val="18"/>
              </w:rPr>
            </w:pPr>
            <w:r w:rsidRPr="00C7769A">
              <w:rPr>
                <w:color w:val="000000"/>
                <w:sz w:val="18"/>
                <w:szCs w:val="18"/>
              </w:rPr>
              <w:t>Participants in the age group 20 - 29 were absent; oversampling of female members</w:t>
            </w:r>
          </w:p>
          <w:p w:rsidR="00CF127C" w:rsidRPr="00C7769A" w:rsidRDefault="00CF127C" w:rsidP="0084105C">
            <w:pPr>
              <w:jc w:val="cente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&lt; 12)</w:t>
            </w:r>
          </w:p>
        </w:tc>
        <w:tc>
          <w:tcPr>
            <w:tcW w:w="5760" w:type="dxa"/>
          </w:tcPr>
          <w:p w:rsidR="00CF127C" w:rsidRPr="00C7769A" w:rsidRDefault="00CF127C" w:rsidP="0084105C">
            <w:pPr>
              <w:rPr>
                <w:color w:val="000000"/>
                <w:sz w:val="18"/>
                <w:szCs w:val="18"/>
              </w:rPr>
            </w:pPr>
            <w:r w:rsidRPr="00C7769A">
              <w:rPr>
                <w:i/>
                <w:color w:val="000000"/>
                <w:sz w:val="18"/>
                <w:szCs w:val="18"/>
              </w:rPr>
              <w:t xml:space="preserve">Resource Allocation Policy: </w:t>
            </w:r>
            <w:r w:rsidRPr="00C7769A">
              <w:rPr>
                <w:i/>
                <w:color w:val="000000"/>
                <w:sz w:val="18"/>
                <w:szCs w:val="18"/>
              </w:rPr>
              <w:br/>
            </w:r>
            <w:r w:rsidRPr="00C7769A">
              <w:rPr>
                <w:color w:val="000000"/>
                <w:sz w:val="18"/>
                <w:szCs w:val="18"/>
              </w:rPr>
              <w:t>1. A committee consisting of a variety of experts and policy makers, but not politicians, should make allocation decisions.  They are essential for the fair and effective allocation of scarce resources.</w:t>
            </w:r>
            <w:r w:rsidRPr="00C7769A">
              <w:rPr>
                <w:color w:val="000000"/>
                <w:sz w:val="18"/>
                <w:szCs w:val="18"/>
              </w:rPr>
              <w:br/>
            </w:r>
            <w:r w:rsidRPr="00C7769A">
              <w:rPr>
                <w:color w:val="000000"/>
                <w:sz w:val="18"/>
                <w:szCs w:val="18"/>
              </w:rPr>
              <w:br/>
            </w:r>
            <w:r w:rsidRPr="00C7769A">
              <w:rPr>
                <w:i/>
                <w:color w:val="000000"/>
                <w:sz w:val="18"/>
                <w:szCs w:val="18"/>
              </w:rPr>
              <w:t xml:space="preserve">Priority Criteria: </w:t>
            </w:r>
            <w:r w:rsidRPr="00C7769A">
              <w:rPr>
                <w:i/>
                <w:color w:val="000000"/>
                <w:sz w:val="18"/>
                <w:szCs w:val="18"/>
              </w:rPr>
              <w:br/>
            </w:r>
            <w:r w:rsidRPr="00C7769A">
              <w:rPr>
                <w:color w:val="000000"/>
                <w:sz w:val="18"/>
                <w:szCs w:val="18"/>
              </w:rPr>
              <w:t xml:space="preserve">1. Both antiviral drugs and vaccines were allocated to groups in the following order: primary health-care workers, viral and vaccine researchers and workers, essential workers and military; </w:t>
            </w:r>
            <w:r w:rsidRPr="00C7769A">
              <w:rPr>
                <w:color w:val="000000"/>
                <w:sz w:val="18"/>
                <w:szCs w:val="18"/>
              </w:rPr>
              <w:br/>
              <w:t>2. Lowest priority groups include: political decision makers; elderly, chronically ill and disabled people were excluded.</w:t>
            </w:r>
          </w:p>
        </w:tc>
        <w:tc>
          <w:tcPr>
            <w:tcW w:w="810" w:type="dxa"/>
          </w:tcPr>
          <w:p w:rsidR="00CF127C" w:rsidRPr="00C7769A" w:rsidRDefault="00CF127C" w:rsidP="0084105C">
            <w:pPr>
              <w:jc w:val="center"/>
              <w:rPr>
                <w:color w:val="000000"/>
                <w:sz w:val="18"/>
                <w:szCs w:val="18"/>
              </w:rPr>
            </w:pPr>
            <w:r w:rsidRPr="00C7769A">
              <w:rPr>
                <w:color w:val="000000"/>
                <w:sz w:val="18"/>
                <w:szCs w:val="18"/>
              </w:rPr>
              <w:t>4</w:t>
            </w:r>
          </w:p>
        </w:tc>
      </w:tr>
      <w:tr w:rsidR="00CF127C" w:rsidRPr="00C7769A" w:rsidTr="0084105C">
        <w:trPr>
          <w:cantSplit/>
          <w:trHeight w:val="1781"/>
        </w:trPr>
        <w:tc>
          <w:tcPr>
            <w:tcW w:w="1116" w:type="dxa"/>
          </w:tcPr>
          <w:p w:rsidR="00CF127C" w:rsidRPr="00C7769A" w:rsidRDefault="00CF127C" w:rsidP="0084105C">
            <w:pPr>
              <w:rPr>
                <w:color w:val="000000"/>
                <w:sz w:val="18"/>
                <w:szCs w:val="18"/>
              </w:rPr>
            </w:pPr>
            <w:r w:rsidRPr="00C7769A">
              <w:rPr>
                <w:color w:val="000000"/>
                <w:sz w:val="18"/>
                <w:szCs w:val="18"/>
              </w:rPr>
              <w:t xml:space="preserve">Poll, 2010 </w:t>
            </w:r>
            <w:r w:rsidRPr="0023334B">
              <w:rPr>
                <w:noProof/>
                <w:color w:val="000000"/>
                <w:sz w:val="18"/>
                <w:szCs w:val="18"/>
                <w:vertAlign w:val="superscript"/>
              </w:rPr>
              <w:t>177</w:t>
            </w:r>
          </w:p>
        </w:tc>
        <w:tc>
          <w:tcPr>
            <w:tcW w:w="1149" w:type="dxa"/>
          </w:tcPr>
          <w:p w:rsidR="00CF127C" w:rsidRPr="00C7769A" w:rsidRDefault="00CF127C" w:rsidP="0084105C">
            <w:pPr>
              <w:rPr>
                <w:color w:val="000000"/>
                <w:sz w:val="18"/>
                <w:szCs w:val="18"/>
              </w:rPr>
            </w:pPr>
            <w:r w:rsidRPr="00C7769A">
              <w:rPr>
                <w:color w:val="000000"/>
                <w:sz w:val="18"/>
                <w:szCs w:val="18"/>
              </w:rPr>
              <w:t>Telephone survey</w:t>
            </w:r>
          </w:p>
        </w:tc>
        <w:tc>
          <w:tcPr>
            <w:tcW w:w="1980" w:type="dxa"/>
          </w:tcPr>
          <w:p w:rsidR="00CF127C" w:rsidRPr="00C7769A" w:rsidRDefault="00CF127C" w:rsidP="0084105C">
            <w:pPr>
              <w:rPr>
                <w:color w:val="000000"/>
                <w:sz w:val="18"/>
                <w:szCs w:val="18"/>
              </w:rPr>
            </w:pPr>
            <w:r w:rsidRPr="00C7769A">
              <w:rPr>
                <w:color w:val="000000"/>
                <w:sz w:val="18"/>
                <w:szCs w:val="18"/>
              </w:rPr>
              <w:t>To understand the public's opinion about prioritizing children's needs in disaster planning and response</w:t>
            </w:r>
          </w:p>
          <w:p w:rsidR="00CF127C" w:rsidRPr="00C7769A" w:rsidRDefault="00CF127C" w:rsidP="0084105C">
            <w:pPr>
              <w:rPr>
                <w:color w:val="000000"/>
                <w:sz w:val="18"/>
                <w:szCs w:val="18"/>
              </w:rPr>
            </w:pPr>
          </w:p>
          <w:p w:rsidR="00CF127C" w:rsidRPr="00C7769A" w:rsidRDefault="00CF127C" w:rsidP="0084105C">
            <w:pPr>
              <w:jc w:val="center"/>
              <w:rPr>
                <w:i/>
                <w:color w:val="000000"/>
                <w:sz w:val="18"/>
                <w:szCs w:val="18"/>
              </w:rPr>
            </w:pPr>
            <w:r w:rsidRPr="00C7769A">
              <w:rPr>
                <w:i/>
                <w:color w:val="000000"/>
                <w:sz w:val="18"/>
                <w:szCs w:val="18"/>
              </w:rPr>
              <w:t>(disaster – unspecified)</w:t>
            </w:r>
          </w:p>
        </w:tc>
        <w:tc>
          <w:tcPr>
            <w:tcW w:w="1080" w:type="dxa"/>
          </w:tcPr>
          <w:p w:rsidR="00CF127C" w:rsidRPr="00C7769A" w:rsidRDefault="00CF127C" w:rsidP="0084105C">
            <w:pPr>
              <w:jc w:val="center"/>
              <w:rPr>
                <w:color w:val="000000"/>
                <w:sz w:val="18"/>
                <w:szCs w:val="18"/>
              </w:rPr>
            </w:pPr>
            <w:smartTag w:uri="urn:schemas-microsoft-com:office:smarttags" w:element="place">
              <w:smartTag w:uri="urn:schemas-microsoft-com:office:smarttags" w:element="country-region">
                <w:r w:rsidRPr="00C7769A">
                  <w:rPr>
                    <w:color w:val="000000"/>
                    <w:sz w:val="18"/>
                    <w:szCs w:val="18"/>
                  </w:rPr>
                  <w:t>United States</w:t>
                </w:r>
              </w:smartTag>
            </w:smartTag>
          </w:p>
        </w:tc>
        <w:tc>
          <w:tcPr>
            <w:tcW w:w="1620" w:type="dxa"/>
          </w:tcPr>
          <w:p w:rsidR="00CF127C" w:rsidRPr="00C7769A" w:rsidRDefault="00CF127C" w:rsidP="0084105C">
            <w:pPr>
              <w:jc w:val="center"/>
              <w:rPr>
                <w:color w:val="000000"/>
                <w:sz w:val="18"/>
                <w:szCs w:val="18"/>
              </w:rPr>
            </w:pPr>
            <w:smartTag w:uri="urn:schemas-microsoft-com:office:smarttags" w:element="place">
              <w:smartTag w:uri="urn:schemas-microsoft-com:office:smarttags" w:element="country-region">
                <w:r w:rsidRPr="00C7769A">
                  <w:rPr>
                    <w:color w:val="000000"/>
                    <w:sz w:val="18"/>
                    <w:szCs w:val="18"/>
                  </w:rPr>
                  <w:t>U.S.</w:t>
                </w:r>
              </w:smartTag>
            </w:smartTag>
            <w:r w:rsidRPr="00C7769A">
              <w:rPr>
                <w:color w:val="000000"/>
                <w:sz w:val="18"/>
                <w:szCs w:val="18"/>
              </w:rPr>
              <w:t xml:space="preserve"> residents</w:t>
            </w:r>
          </w:p>
          <w:p w:rsidR="00CF127C" w:rsidRPr="00C7769A" w:rsidRDefault="00CF127C" w:rsidP="0084105C">
            <w:pPr>
              <w:jc w:val="cente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 1,030)</w:t>
            </w:r>
          </w:p>
        </w:tc>
        <w:tc>
          <w:tcPr>
            <w:tcW w:w="5760" w:type="dxa"/>
          </w:tcPr>
          <w:p w:rsidR="00CF127C" w:rsidRPr="00C7769A" w:rsidRDefault="00CF127C" w:rsidP="0084105C">
            <w:pPr>
              <w:rPr>
                <w:color w:val="000000"/>
                <w:sz w:val="18"/>
                <w:szCs w:val="18"/>
              </w:rPr>
            </w:pPr>
            <w:r w:rsidRPr="00C7769A">
              <w:rPr>
                <w:i/>
                <w:color w:val="000000"/>
                <w:sz w:val="18"/>
                <w:szCs w:val="18"/>
              </w:rPr>
              <w:t xml:space="preserve">Resource Allocation Policy: </w:t>
            </w:r>
            <w:r w:rsidRPr="00C7769A">
              <w:rPr>
                <w:i/>
                <w:color w:val="000000"/>
                <w:sz w:val="18"/>
                <w:szCs w:val="18"/>
              </w:rPr>
              <w:br/>
            </w:r>
            <w:r w:rsidRPr="00C7769A">
              <w:rPr>
                <w:color w:val="000000"/>
                <w:sz w:val="18"/>
                <w:szCs w:val="18"/>
              </w:rPr>
              <w:t>1. The same medical treatments currently available for adults should also be readily available for children .</w:t>
            </w:r>
            <w:r w:rsidRPr="00C7769A">
              <w:rPr>
                <w:color w:val="000000"/>
                <w:sz w:val="18"/>
                <w:szCs w:val="18"/>
              </w:rPr>
              <w:br/>
            </w:r>
            <w:r w:rsidRPr="00C7769A">
              <w:rPr>
                <w:color w:val="000000"/>
                <w:sz w:val="18"/>
                <w:szCs w:val="18"/>
              </w:rPr>
              <w:br/>
            </w:r>
            <w:r w:rsidRPr="00C7769A">
              <w:rPr>
                <w:i/>
                <w:color w:val="000000"/>
                <w:sz w:val="18"/>
                <w:szCs w:val="18"/>
              </w:rPr>
              <w:t xml:space="preserve">Priority Criteria: </w:t>
            </w:r>
            <w:r w:rsidRPr="00C7769A">
              <w:rPr>
                <w:i/>
                <w:color w:val="000000"/>
                <w:sz w:val="18"/>
                <w:szCs w:val="18"/>
              </w:rPr>
              <w:br/>
            </w:r>
            <w:r w:rsidRPr="00C7769A">
              <w:rPr>
                <w:color w:val="000000"/>
                <w:sz w:val="18"/>
                <w:szCs w:val="18"/>
              </w:rPr>
              <w:t>1. If resources are limited and tough decisions must be made, children should be given a higher priority for life-saving treatments rather than adults with the same medical condition.</w:t>
            </w:r>
          </w:p>
        </w:tc>
        <w:tc>
          <w:tcPr>
            <w:tcW w:w="810" w:type="dxa"/>
          </w:tcPr>
          <w:p w:rsidR="00CF127C" w:rsidRPr="00C7769A" w:rsidRDefault="00CF127C" w:rsidP="0084105C">
            <w:pPr>
              <w:jc w:val="center"/>
              <w:rPr>
                <w:color w:val="000000"/>
                <w:sz w:val="18"/>
                <w:szCs w:val="18"/>
              </w:rPr>
            </w:pPr>
            <w:r w:rsidRPr="00C7769A">
              <w:rPr>
                <w:color w:val="000000"/>
                <w:sz w:val="18"/>
                <w:szCs w:val="18"/>
              </w:rPr>
              <w:t>2</w:t>
            </w:r>
          </w:p>
        </w:tc>
      </w:tr>
      <w:tr w:rsidR="00CF127C" w:rsidRPr="00C7769A" w:rsidTr="0084105C">
        <w:trPr>
          <w:cantSplit/>
          <w:trHeight w:val="3851"/>
        </w:trPr>
        <w:tc>
          <w:tcPr>
            <w:tcW w:w="1116" w:type="dxa"/>
          </w:tcPr>
          <w:p w:rsidR="00CF127C" w:rsidRPr="00C7769A" w:rsidRDefault="00CF127C" w:rsidP="0084105C">
            <w:pPr>
              <w:rPr>
                <w:color w:val="000000"/>
                <w:sz w:val="18"/>
                <w:szCs w:val="18"/>
              </w:rPr>
            </w:pPr>
            <w:r w:rsidRPr="00C7769A">
              <w:rPr>
                <w:color w:val="000000"/>
                <w:sz w:val="18"/>
                <w:szCs w:val="18"/>
              </w:rPr>
              <w:t xml:space="preserve">PEPPPI, 2005 </w:t>
            </w:r>
            <w:r w:rsidRPr="0023334B">
              <w:rPr>
                <w:noProof/>
                <w:color w:val="000000"/>
                <w:sz w:val="18"/>
                <w:szCs w:val="18"/>
                <w:vertAlign w:val="superscript"/>
              </w:rPr>
              <w:t>178</w:t>
            </w:r>
          </w:p>
        </w:tc>
        <w:tc>
          <w:tcPr>
            <w:tcW w:w="1149" w:type="dxa"/>
          </w:tcPr>
          <w:p w:rsidR="00CF127C" w:rsidRPr="00C7769A" w:rsidRDefault="00CF127C" w:rsidP="0084105C">
            <w:pPr>
              <w:rPr>
                <w:color w:val="000000"/>
                <w:sz w:val="18"/>
                <w:szCs w:val="18"/>
              </w:rPr>
            </w:pPr>
            <w:r w:rsidRPr="00C7769A">
              <w:rPr>
                <w:color w:val="000000"/>
                <w:sz w:val="18"/>
                <w:szCs w:val="18"/>
              </w:rPr>
              <w:t>Deliberation meeting and feedback session</w:t>
            </w:r>
          </w:p>
        </w:tc>
        <w:tc>
          <w:tcPr>
            <w:tcW w:w="1980" w:type="dxa"/>
          </w:tcPr>
          <w:p w:rsidR="00CF127C" w:rsidRPr="00C7769A" w:rsidRDefault="00CF127C" w:rsidP="0084105C">
            <w:pPr>
              <w:rPr>
                <w:color w:val="000000"/>
                <w:sz w:val="18"/>
                <w:szCs w:val="18"/>
              </w:rPr>
            </w:pPr>
            <w:r w:rsidRPr="00C7769A">
              <w:rPr>
                <w:color w:val="000000"/>
                <w:sz w:val="18"/>
                <w:szCs w:val="18"/>
              </w:rPr>
              <w:t>To pilot test a new model for engaging citizens on vaccine related policy decisions when supplies of vaccine are limited and  scarce resources need to be allocated efficiently in a severe pandemic</w:t>
            </w:r>
          </w:p>
          <w:p w:rsidR="00CF127C" w:rsidRPr="00C7769A" w:rsidRDefault="00CF127C" w:rsidP="0084105C">
            <w:pPr>
              <w:rPr>
                <w:color w:val="000000"/>
                <w:sz w:val="18"/>
                <w:szCs w:val="18"/>
              </w:rPr>
            </w:pPr>
          </w:p>
          <w:p w:rsidR="00CF127C" w:rsidRPr="00C7769A" w:rsidRDefault="00CF127C" w:rsidP="0084105C">
            <w:pPr>
              <w:jc w:val="center"/>
              <w:rPr>
                <w:i/>
                <w:color w:val="000000"/>
                <w:sz w:val="18"/>
                <w:szCs w:val="18"/>
              </w:rPr>
            </w:pPr>
            <w:r w:rsidRPr="00C7769A">
              <w:rPr>
                <w:i/>
                <w:color w:val="000000"/>
                <w:sz w:val="18"/>
                <w:szCs w:val="18"/>
              </w:rPr>
              <w:t>(pandemic influenza)</w:t>
            </w:r>
          </w:p>
        </w:tc>
        <w:tc>
          <w:tcPr>
            <w:tcW w:w="1080" w:type="dxa"/>
          </w:tcPr>
          <w:p w:rsidR="00CF127C" w:rsidRPr="00C7769A" w:rsidRDefault="00CF127C" w:rsidP="0084105C">
            <w:pPr>
              <w:jc w:val="center"/>
              <w:rPr>
                <w:color w:val="000000"/>
                <w:sz w:val="18"/>
                <w:szCs w:val="18"/>
              </w:rPr>
            </w:pPr>
            <w:r w:rsidRPr="00C7769A">
              <w:rPr>
                <w:color w:val="000000"/>
                <w:sz w:val="18"/>
                <w:szCs w:val="18"/>
              </w:rPr>
              <w:t>GA (</w:t>
            </w:r>
            <w:smartTag w:uri="urn:schemas-microsoft-com:office:smarttags" w:element="place">
              <w:smartTag w:uri="urn:schemas-microsoft-com:office:smarttags" w:element="City">
                <w:r w:rsidRPr="00C7769A">
                  <w:rPr>
                    <w:color w:val="000000"/>
                    <w:sz w:val="18"/>
                    <w:szCs w:val="18"/>
                  </w:rPr>
                  <w:t>Atlanta</w:t>
                </w:r>
              </w:smartTag>
            </w:smartTag>
            <w:r w:rsidRPr="00C7769A">
              <w:rPr>
                <w:color w:val="000000"/>
                <w:sz w:val="18"/>
                <w:szCs w:val="18"/>
              </w:rPr>
              <w:t>), MA, NE, OR</w:t>
            </w:r>
          </w:p>
        </w:tc>
        <w:tc>
          <w:tcPr>
            <w:tcW w:w="1620" w:type="dxa"/>
          </w:tcPr>
          <w:p w:rsidR="00CF127C" w:rsidRPr="00C7769A" w:rsidRDefault="00CF127C" w:rsidP="0084105C">
            <w:pPr>
              <w:rPr>
                <w:color w:val="000000"/>
                <w:sz w:val="18"/>
                <w:szCs w:val="18"/>
              </w:rPr>
            </w:pPr>
            <w:r w:rsidRPr="00C7769A">
              <w:rPr>
                <w:color w:val="000000"/>
                <w:sz w:val="18"/>
                <w:szCs w:val="18"/>
              </w:rPr>
              <w:t>Adults aged 18-78; a larger proportion of participants aged 55-64; more females, more participants with higher education</w:t>
            </w:r>
          </w:p>
          <w:p w:rsidR="00CF127C" w:rsidRPr="00C7769A" w:rsidRDefault="00CF127C" w:rsidP="0084105C">
            <w:pP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 250)</w:t>
            </w:r>
          </w:p>
        </w:tc>
        <w:tc>
          <w:tcPr>
            <w:tcW w:w="5760" w:type="dxa"/>
          </w:tcPr>
          <w:p w:rsidR="00CF127C" w:rsidRPr="00C7769A" w:rsidRDefault="00CF127C" w:rsidP="0084105C">
            <w:pPr>
              <w:rPr>
                <w:color w:val="000000"/>
                <w:sz w:val="18"/>
                <w:szCs w:val="18"/>
              </w:rPr>
            </w:pPr>
            <w:r w:rsidRPr="00C7769A">
              <w:rPr>
                <w:i/>
                <w:color w:val="000000"/>
                <w:sz w:val="18"/>
                <w:szCs w:val="18"/>
              </w:rPr>
              <w:t xml:space="preserve">Resource Allocation Policy: </w:t>
            </w:r>
            <w:r w:rsidRPr="00C7769A">
              <w:rPr>
                <w:i/>
                <w:color w:val="000000"/>
                <w:sz w:val="18"/>
                <w:szCs w:val="18"/>
              </w:rPr>
              <w:br/>
            </w:r>
            <w:r w:rsidRPr="00C7769A">
              <w:rPr>
                <w:color w:val="000000"/>
                <w:sz w:val="18"/>
                <w:szCs w:val="18"/>
              </w:rPr>
              <w:t xml:space="preserve">1. The goals of the allocation system should be 1) assuring the functioning of society using the minimum number of vaccine doses, and 2) reducing the individual deaths and hospitalizations due to influenza (protecting those who are vulnerable and at risk); </w:t>
            </w:r>
            <w:r w:rsidRPr="00C7769A">
              <w:rPr>
                <w:color w:val="000000"/>
                <w:sz w:val="18"/>
                <w:szCs w:val="18"/>
              </w:rPr>
              <w:br/>
              <w:t>2. Transparency and open communication are key to ensure the fairness and trust essential to the plan's success;</w:t>
            </w:r>
            <w:r w:rsidRPr="00C7769A">
              <w:rPr>
                <w:color w:val="000000"/>
                <w:sz w:val="18"/>
                <w:szCs w:val="18"/>
              </w:rPr>
              <w:br/>
              <w:t xml:space="preserve">3. The federal government role should be providing broad guidance; responsibility for more specific interpretation and implementation should remain with state and local health authorities; </w:t>
            </w:r>
            <w:r w:rsidRPr="00C7769A">
              <w:rPr>
                <w:color w:val="000000"/>
                <w:sz w:val="18"/>
                <w:szCs w:val="18"/>
              </w:rPr>
              <w:br/>
              <w:t>4. Public health experts rather than political appointees should make the vaccine priority decisions.</w:t>
            </w:r>
            <w:r w:rsidRPr="00C7769A">
              <w:rPr>
                <w:color w:val="000000"/>
                <w:sz w:val="18"/>
                <w:szCs w:val="18"/>
              </w:rPr>
              <w:br/>
            </w:r>
            <w:r w:rsidRPr="00C7769A">
              <w:rPr>
                <w:color w:val="000000"/>
                <w:sz w:val="18"/>
                <w:szCs w:val="18"/>
              </w:rPr>
              <w:br/>
            </w:r>
            <w:r w:rsidRPr="00C7769A">
              <w:rPr>
                <w:i/>
                <w:color w:val="000000"/>
                <w:sz w:val="18"/>
                <w:szCs w:val="18"/>
              </w:rPr>
              <w:t>Priority Criteria:</w:t>
            </w:r>
            <w:r w:rsidRPr="00C7769A">
              <w:rPr>
                <w:color w:val="000000"/>
                <w:sz w:val="18"/>
                <w:szCs w:val="18"/>
              </w:rPr>
              <w:br/>
              <w:t>1. Top priorities should be given to society's caretakers and persons at high risk;</w:t>
            </w:r>
            <w:r w:rsidRPr="00C7769A">
              <w:rPr>
                <w:color w:val="000000"/>
                <w:sz w:val="18"/>
                <w:szCs w:val="18"/>
              </w:rPr>
              <w:br/>
              <w:t>2. Little support for giving priorities to young people, using a lottery system, or "first come, first served".</w:t>
            </w:r>
          </w:p>
        </w:tc>
        <w:tc>
          <w:tcPr>
            <w:tcW w:w="810" w:type="dxa"/>
          </w:tcPr>
          <w:p w:rsidR="00CF127C" w:rsidRPr="00C7769A" w:rsidRDefault="00CF127C" w:rsidP="0084105C">
            <w:pPr>
              <w:jc w:val="center"/>
              <w:rPr>
                <w:color w:val="000000"/>
                <w:sz w:val="18"/>
                <w:szCs w:val="18"/>
              </w:rPr>
            </w:pPr>
            <w:r w:rsidRPr="00C7769A">
              <w:rPr>
                <w:color w:val="000000"/>
                <w:sz w:val="18"/>
                <w:szCs w:val="18"/>
              </w:rPr>
              <w:t>5</w:t>
            </w:r>
          </w:p>
        </w:tc>
      </w:tr>
      <w:tr w:rsidR="00CF127C" w:rsidRPr="00C7769A" w:rsidTr="0084105C">
        <w:trPr>
          <w:cantSplit/>
          <w:trHeight w:val="5489"/>
        </w:trPr>
        <w:tc>
          <w:tcPr>
            <w:tcW w:w="1116" w:type="dxa"/>
          </w:tcPr>
          <w:p w:rsidR="00CF127C" w:rsidRPr="00C7769A" w:rsidRDefault="00CF127C" w:rsidP="0084105C">
            <w:pPr>
              <w:rPr>
                <w:color w:val="000000"/>
                <w:sz w:val="18"/>
                <w:szCs w:val="18"/>
              </w:rPr>
            </w:pPr>
            <w:r w:rsidRPr="00C7769A">
              <w:rPr>
                <w:color w:val="000000"/>
                <w:sz w:val="18"/>
                <w:szCs w:val="18"/>
              </w:rPr>
              <w:lastRenderedPageBreak/>
              <w:t xml:space="preserve">Public Engagement Project, 2009 </w:t>
            </w:r>
            <w:r w:rsidRPr="0023334B">
              <w:rPr>
                <w:noProof/>
                <w:color w:val="000000"/>
                <w:sz w:val="18"/>
                <w:szCs w:val="18"/>
                <w:vertAlign w:val="superscript"/>
              </w:rPr>
              <w:t>180</w:t>
            </w:r>
          </w:p>
        </w:tc>
        <w:tc>
          <w:tcPr>
            <w:tcW w:w="1149" w:type="dxa"/>
          </w:tcPr>
          <w:p w:rsidR="00CF127C" w:rsidRPr="00C7769A" w:rsidRDefault="00CF127C" w:rsidP="0084105C">
            <w:pPr>
              <w:rPr>
                <w:color w:val="000000"/>
                <w:sz w:val="18"/>
                <w:szCs w:val="18"/>
              </w:rPr>
            </w:pPr>
            <w:r w:rsidRPr="00C7769A">
              <w:rPr>
                <w:color w:val="000000"/>
                <w:sz w:val="18"/>
                <w:szCs w:val="18"/>
              </w:rPr>
              <w:t>Public engagement forum</w:t>
            </w:r>
          </w:p>
        </w:tc>
        <w:tc>
          <w:tcPr>
            <w:tcW w:w="1980" w:type="dxa"/>
          </w:tcPr>
          <w:p w:rsidR="00CF127C" w:rsidRPr="00C7769A" w:rsidRDefault="00CF127C" w:rsidP="0084105C">
            <w:pPr>
              <w:rPr>
                <w:color w:val="000000"/>
                <w:sz w:val="18"/>
                <w:szCs w:val="18"/>
              </w:rPr>
            </w:pPr>
            <w:r w:rsidRPr="00C7769A">
              <w:rPr>
                <w:color w:val="000000"/>
                <w:sz w:val="18"/>
                <w:szCs w:val="18"/>
              </w:rPr>
              <w:t xml:space="preserve">To better understand the public's values and priorities regarding the delivery of medical services during a severe influenza pandemic </w:t>
            </w:r>
          </w:p>
          <w:p w:rsidR="00CF127C" w:rsidRPr="00C7769A" w:rsidRDefault="00CF127C" w:rsidP="0084105C">
            <w:pPr>
              <w:rPr>
                <w:color w:val="000000"/>
                <w:sz w:val="18"/>
                <w:szCs w:val="18"/>
              </w:rPr>
            </w:pPr>
          </w:p>
          <w:p w:rsidR="00CF127C" w:rsidRPr="00C7769A" w:rsidRDefault="00CF127C" w:rsidP="0084105C">
            <w:pPr>
              <w:jc w:val="center"/>
              <w:rPr>
                <w:i/>
                <w:color w:val="000000"/>
                <w:sz w:val="18"/>
                <w:szCs w:val="18"/>
              </w:rPr>
            </w:pPr>
            <w:r w:rsidRPr="00C7769A">
              <w:rPr>
                <w:i/>
                <w:color w:val="000000"/>
                <w:sz w:val="18"/>
                <w:szCs w:val="18"/>
              </w:rPr>
              <w:t>(pandemic influenza)</w:t>
            </w:r>
          </w:p>
        </w:tc>
        <w:tc>
          <w:tcPr>
            <w:tcW w:w="1080" w:type="dxa"/>
          </w:tcPr>
          <w:p w:rsidR="00CF127C" w:rsidRPr="00C7769A" w:rsidRDefault="00CF127C" w:rsidP="0084105C">
            <w:pPr>
              <w:jc w:val="center"/>
              <w:rPr>
                <w:color w:val="000000"/>
                <w:sz w:val="18"/>
                <w:szCs w:val="18"/>
              </w:rPr>
            </w:pPr>
            <w:r w:rsidRPr="00C7769A">
              <w:rPr>
                <w:color w:val="000000"/>
                <w:sz w:val="18"/>
                <w:szCs w:val="18"/>
              </w:rPr>
              <w:t xml:space="preserve">WA (Seattle / </w:t>
            </w:r>
            <w:smartTag w:uri="urn:schemas-microsoft-com:office:smarttags" w:element="place">
              <w:smartTag w:uri="urn:schemas-microsoft-com:office:smarttags" w:element="PlaceName">
                <w:r w:rsidRPr="00C7769A">
                  <w:rPr>
                    <w:color w:val="000000"/>
                    <w:sz w:val="18"/>
                    <w:szCs w:val="18"/>
                  </w:rPr>
                  <w:t>King</w:t>
                </w:r>
              </w:smartTag>
              <w:r w:rsidRPr="00C7769A">
                <w:rPr>
                  <w:color w:val="000000"/>
                  <w:sz w:val="18"/>
                  <w:szCs w:val="18"/>
                </w:rPr>
                <w:t xml:space="preserve"> </w:t>
              </w:r>
              <w:smartTag w:uri="urn:schemas-microsoft-com:office:smarttags" w:element="PlaceType">
                <w:r w:rsidRPr="00C7769A">
                  <w:rPr>
                    <w:color w:val="000000"/>
                    <w:sz w:val="18"/>
                    <w:szCs w:val="18"/>
                  </w:rPr>
                  <w:t>County</w:t>
                </w:r>
              </w:smartTag>
            </w:smartTag>
            <w:r w:rsidRPr="00C7769A">
              <w:rPr>
                <w:color w:val="000000"/>
                <w:sz w:val="18"/>
                <w:szCs w:val="18"/>
              </w:rPr>
              <w:t>)</w:t>
            </w:r>
          </w:p>
        </w:tc>
        <w:tc>
          <w:tcPr>
            <w:tcW w:w="1620" w:type="dxa"/>
          </w:tcPr>
          <w:p w:rsidR="00CF127C" w:rsidRPr="00C7769A" w:rsidRDefault="00CF127C" w:rsidP="0084105C">
            <w:pPr>
              <w:rPr>
                <w:color w:val="000000"/>
                <w:sz w:val="18"/>
                <w:szCs w:val="18"/>
              </w:rPr>
            </w:pPr>
            <w:r w:rsidRPr="00C7769A">
              <w:rPr>
                <w:color w:val="000000"/>
                <w:sz w:val="18"/>
                <w:szCs w:val="18"/>
              </w:rPr>
              <w:t>70% females; 2/3 Whites; diverse age span and education level; large number of participants living near poverty line</w:t>
            </w:r>
          </w:p>
          <w:p w:rsidR="00CF127C" w:rsidRPr="00C7769A" w:rsidRDefault="00CF127C" w:rsidP="0084105C">
            <w:pP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 123)</w:t>
            </w:r>
          </w:p>
        </w:tc>
        <w:tc>
          <w:tcPr>
            <w:tcW w:w="5760" w:type="dxa"/>
          </w:tcPr>
          <w:p w:rsidR="00CF127C" w:rsidRPr="00C7769A" w:rsidRDefault="00CF127C" w:rsidP="0084105C">
            <w:pPr>
              <w:rPr>
                <w:color w:val="000000"/>
                <w:sz w:val="18"/>
                <w:szCs w:val="18"/>
              </w:rPr>
            </w:pPr>
            <w:r w:rsidRPr="00C7769A">
              <w:rPr>
                <w:i/>
                <w:color w:val="000000"/>
                <w:sz w:val="18"/>
                <w:szCs w:val="18"/>
              </w:rPr>
              <w:t>Resource Allocation Policy:</w:t>
            </w:r>
            <w:r w:rsidRPr="00C7769A">
              <w:rPr>
                <w:color w:val="000000"/>
                <w:sz w:val="18"/>
                <w:szCs w:val="18"/>
              </w:rPr>
              <w:t xml:space="preserve"> </w:t>
            </w:r>
            <w:r w:rsidRPr="00C7769A">
              <w:rPr>
                <w:color w:val="000000"/>
                <w:sz w:val="18"/>
                <w:szCs w:val="18"/>
              </w:rPr>
              <w:br/>
              <w:t>1. Altered decision-making processes and protocols will be required to determine allocation of scarce medical resources during an influenza pandemic;</w:t>
            </w:r>
            <w:r w:rsidRPr="00C7769A">
              <w:rPr>
                <w:color w:val="000000"/>
                <w:sz w:val="18"/>
                <w:szCs w:val="18"/>
              </w:rPr>
              <w:br/>
              <w:t>2. The system should be relatively simple to support successful implementation and administration but should be consistent at state or national level;</w:t>
            </w:r>
            <w:r w:rsidRPr="00C7769A">
              <w:rPr>
                <w:color w:val="000000"/>
                <w:sz w:val="18"/>
                <w:szCs w:val="18"/>
              </w:rPr>
              <w:br/>
              <w:t>3. Guidelines should allow some flexibility to facilities;</w:t>
            </w:r>
            <w:r w:rsidRPr="00C7769A">
              <w:rPr>
                <w:color w:val="000000"/>
                <w:sz w:val="18"/>
                <w:szCs w:val="18"/>
              </w:rPr>
              <w:br/>
              <w:t>4. The goals of the allocation decisions should be 1) treat as many people as possible even if it means compromised standard of care; 2) The prioritization system should be fair and accessible to all people.</w:t>
            </w:r>
            <w:r w:rsidRPr="00C7769A">
              <w:rPr>
                <w:color w:val="000000"/>
                <w:sz w:val="18"/>
                <w:szCs w:val="18"/>
              </w:rPr>
              <w:br/>
            </w:r>
            <w:r w:rsidRPr="00C7769A">
              <w:rPr>
                <w:color w:val="000000"/>
                <w:sz w:val="18"/>
                <w:szCs w:val="18"/>
              </w:rPr>
              <w:br/>
            </w:r>
            <w:r w:rsidRPr="00C7769A">
              <w:rPr>
                <w:i/>
                <w:color w:val="000000"/>
                <w:sz w:val="18"/>
                <w:szCs w:val="18"/>
              </w:rPr>
              <w:t>Priority Criteria:</w:t>
            </w:r>
            <w:r w:rsidRPr="00C7769A">
              <w:rPr>
                <w:color w:val="000000"/>
                <w:sz w:val="18"/>
                <w:szCs w:val="18"/>
              </w:rPr>
              <w:br/>
              <w:t xml:space="preserve">1. Priority treatment should be given to health care providers and first responders; </w:t>
            </w:r>
            <w:r w:rsidRPr="00C7769A">
              <w:rPr>
                <w:color w:val="000000"/>
                <w:sz w:val="18"/>
                <w:szCs w:val="18"/>
              </w:rPr>
              <w:br/>
              <w:t>2. Children and pregnant women should receive some priority when all other factors are equal;</w:t>
            </w:r>
            <w:r w:rsidRPr="00C7769A">
              <w:rPr>
                <w:color w:val="000000"/>
                <w:sz w:val="18"/>
                <w:szCs w:val="18"/>
              </w:rPr>
              <w:br/>
              <w:t>3. Survivability is a priority treatment consideration;</w:t>
            </w:r>
            <w:r w:rsidRPr="00C7769A">
              <w:rPr>
                <w:color w:val="000000"/>
                <w:sz w:val="18"/>
                <w:szCs w:val="18"/>
              </w:rPr>
              <w:br/>
              <w:t xml:space="preserve">4. Strategies rejected: "first come, first served", randomization, ability to pay, strategies that discriminate according to race, gender, culture, legal status, nationality, or language.  </w:t>
            </w:r>
            <w:r w:rsidRPr="00C7769A">
              <w:rPr>
                <w:color w:val="000000"/>
                <w:sz w:val="18"/>
                <w:szCs w:val="18"/>
              </w:rPr>
              <w:br/>
            </w:r>
            <w:r w:rsidRPr="00C7769A">
              <w:rPr>
                <w:color w:val="000000"/>
                <w:sz w:val="18"/>
                <w:szCs w:val="18"/>
              </w:rPr>
              <w:br/>
            </w:r>
            <w:r w:rsidRPr="00C7769A">
              <w:rPr>
                <w:i/>
                <w:color w:val="000000"/>
                <w:sz w:val="18"/>
                <w:szCs w:val="18"/>
              </w:rPr>
              <w:t>Other:</w:t>
            </w:r>
            <w:r w:rsidRPr="00C7769A">
              <w:rPr>
                <w:color w:val="000000"/>
                <w:sz w:val="18"/>
                <w:szCs w:val="18"/>
              </w:rPr>
              <w:br/>
              <w:t>1. Decisions for withdrawing life-saving care should be made by the patient or patient's family with input from a doctor or health care provider.</w:t>
            </w:r>
          </w:p>
        </w:tc>
        <w:tc>
          <w:tcPr>
            <w:tcW w:w="810" w:type="dxa"/>
          </w:tcPr>
          <w:p w:rsidR="00CF127C" w:rsidRPr="00C7769A" w:rsidRDefault="00CF127C" w:rsidP="0084105C">
            <w:pPr>
              <w:jc w:val="center"/>
              <w:rPr>
                <w:color w:val="000000"/>
                <w:sz w:val="18"/>
                <w:szCs w:val="18"/>
              </w:rPr>
            </w:pPr>
            <w:r w:rsidRPr="00C7769A">
              <w:rPr>
                <w:color w:val="000000"/>
                <w:sz w:val="18"/>
                <w:szCs w:val="18"/>
              </w:rPr>
              <w:t>5</w:t>
            </w:r>
          </w:p>
        </w:tc>
      </w:tr>
      <w:tr w:rsidR="00CF127C" w:rsidRPr="00C7769A" w:rsidTr="0084105C">
        <w:trPr>
          <w:cantSplit/>
          <w:trHeight w:val="2195"/>
        </w:trPr>
        <w:tc>
          <w:tcPr>
            <w:tcW w:w="1116" w:type="dxa"/>
          </w:tcPr>
          <w:p w:rsidR="00CF127C" w:rsidRPr="00C7769A" w:rsidRDefault="00CF127C" w:rsidP="0084105C">
            <w:pPr>
              <w:rPr>
                <w:color w:val="000000"/>
                <w:sz w:val="18"/>
                <w:szCs w:val="18"/>
              </w:rPr>
            </w:pPr>
            <w:r w:rsidRPr="00C7769A">
              <w:rPr>
                <w:color w:val="000000"/>
                <w:sz w:val="18"/>
                <w:szCs w:val="18"/>
              </w:rPr>
              <w:lastRenderedPageBreak/>
              <w:t>SSA Consultants, 2011</w:t>
            </w:r>
            <w:r w:rsidRPr="0023334B">
              <w:rPr>
                <w:noProof/>
                <w:color w:val="000000"/>
                <w:sz w:val="18"/>
                <w:szCs w:val="18"/>
                <w:vertAlign w:val="superscript"/>
              </w:rPr>
              <w:t>184</w:t>
            </w:r>
          </w:p>
        </w:tc>
        <w:tc>
          <w:tcPr>
            <w:tcW w:w="1149" w:type="dxa"/>
          </w:tcPr>
          <w:p w:rsidR="00CF127C" w:rsidRPr="00C7769A" w:rsidRDefault="00CF127C" w:rsidP="0084105C">
            <w:pPr>
              <w:rPr>
                <w:color w:val="000000"/>
                <w:sz w:val="18"/>
                <w:szCs w:val="18"/>
              </w:rPr>
            </w:pPr>
            <w:r w:rsidRPr="00C7769A">
              <w:rPr>
                <w:color w:val="000000"/>
                <w:sz w:val="18"/>
                <w:szCs w:val="18"/>
              </w:rPr>
              <w:t>Deliberative forum with exercises and consensus development</w:t>
            </w:r>
          </w:p>
        </w:tc>
        <w:tc>
          <w:tcPr>
            <w:tcW w:w="1980" w:type="dxa"/>
          </w:tcPr>
          <w:p w:rsidR="00CF127C" w:rsidRPr="00C7769A" w:rsidRDefault="00CF127C" w:rsidP="0084105C">
            <w:pPr>
              <w:rPr>
                <w:color w:val="000000"/>
                <w:sz w:val="18"/>
                <w:szCs w:val="18"/>
              </w:rPr>
            </w:pPr>
            <w:r w:rsidRPr="00C7769A">
              <w:rPr>
                <w:color w:val="000000"/>
                <w:sz w:val="18"/>
                <w:szCs w:val="18"/>
              </w:rPr>
              <w:t xml:space="preserve">To better understand the public's values, beliefs, and opinions regarding the implementation of crisis standards of care </w:t>
            </w:r>
          </w:p>
          <w:p w:rsidR="00CF127C" w:rsidRPr="00C7769A" w:rsidRDefault="00CF127C" w:rsidP="0084105C">
            <w:pPr>
              <w:rPr>
                <w:color w:val="000000"/>
                <w:sz w:val="18"/>
                <w:szCs w:val="18"/>
              </w:rPr>
            </w:pPr>
          </w:p>
        </w:tc>
        <w:tc>
          <w:tcPr>
            <w:tcW w:w="1080" w:type="dxa"/>
          </w:tcPr>
          <w:p w:rsidR="00CF127C" w:rsidRPr="00C7769A" w:rsidRDefault="00CF127C" w:rsidP="0084105C">
            <w:pPr>
              <w:jc w:val="center"/>
              <w:rPr>
                <w:color w:val="000000"/>
                <w:sz w:val="18"/>
                <w:szCs w:val="18"/>
              </w:rPr>
            </w:pPr>
            <w:smartTag w:uri="urn:schemas-microsoft-com:office:smarttags" w:element="City">
              <w:r w:rsidRPr="00C7769A">
                <w:rPr>
                  <w:color w:val="000000"/>
                  <w:sz w:val="18"/>
                  <w:szCs w:val="18"/>
                </w:rPr>
                <w:t>Baton Rouge</w:t>
              </w:r>
            </w:smartTag>
            <w:r w:rsidRPr="00C7769A">
              <w:rPr>
                <w:color w:val="000000"/>
                <w:sz w:val="18"/>
                <w:szCs w:val="18"/>
              </w:rPr>
              <w:t xml:space="preserve">, </w:t>
            </w:r>
            <w:smartTag w:uri="urn:schemas-microsoft-com:office:smarttags" w:element="State">
              <w:r w:rsidRPr="00C7769A">
                <w:rPr>
                  <w:color w:val="000000"/>
                  <w:sz w:val="18"/>
                  <w:szCs w:val="18"/>
                </w:rPr>
                <w:t>LA</w:t>
              </w:r>
            </w:smartTag>
            <w:r w:rsidRPr="00C7769A">
              <w:rPr>
                <w:color w:val="000000"/>
                <w:sz w:val="18"/>
                <w:szCs w:val="18"/>
              </w:rPr>
              <w:t xml:space="preserve"> and </w:t>
            </w:r>
            <w:smartTag w:uri="urn:schemas-microsoft-com:office:smarttags" w:element="place">
              <w:smartTag w:uri="urn:schemas-microsoft-com:office:smarttags" w:element="City">
                <w:r w:rsidRPr="00C7769A">
                  <w:rPr>
                    <w:color w:val="000000"/>
                    <w:sz w:val="18"/>
                    <w:szCs w:val="18"/>
                  </w:rPr>
                  <w:t>Shreveport</w:t>
                </w:r>
              </w:smartTag>
              <w:r w:rsidRPr="00C7769A">
                <w:rPr>
                  <w:color w:val="000000"/>
                  <w:sz w:val="18"/>
                  <w:szCs w:val="18"/>
                </w:rPr>
                <w:t xml:space="preserve">, </w:t>
              </w:r>
              <w:smartTag w:uri="urn:schemas-microsoft-com:office:smarttags" w:element="State">
                <w:r w:rsidRPr="00C7769A">
                  <w:rPr>
                    <w:color w:val="000000"/>
                    <w:sz w:val="18"/>
                    <w:szCs w:val="18"/>
                  </w:rPr>
                  <w:t>LA</w:t>
                </w:r>
              </w:smartTag>
            </w:smartTag>
          </w:p>
        </w:tc>
        <w:tc>
          <w:tcPr>
            <w:tcW w:w="1620" w:type="dxa"/>
          </w:tcPr>
          <w:p w:rsidR="00CF127C" w:rsidRPr="00C7769A" w:rsidRDefault="00CF127C" w:rsidP="0084105C">
            <w:pPr>
              <w:rPr>
                <w:color w:val="000000"/>
                <w:sz w:val="18"/>
                <w:szCs w:val="18"/>
              </w:rPr>
            </w:pPr>
            <w:r w:rsidRPr="00C7769A">
              <w:rPr>
                <w:color w:val="000000"/>
                <w:sz w:val="18"/>
                <w:szCs w:val="18"/>
              </w:rPr>
              <w:t>Age 20-69;</w:t>
            </w:r>
          </w:p>
          <w:p w:rsidR="00CF127C" w:rsidRPr="00C7769A" w:rsidRDefault="00CF127C" w:rsidP="0084105C">
            <w:pPr>
              <w:rPr>
                <w:color w:val="000000"/>
                <w:sz w:val="18"/>
                <w:szCs w:val="18"/>
              </w:rPr>
            </w:pPr>
            <w:r w:rsidRPr="00C7769A">
              <w:rPr>
                <w:color w:val="000000"/>
                <w:sz w:val="18"/>
                <w:szCs w:val="18"/>
              </w:rPr>
              <w:t>68% female;</w:t>
            </w:r>
          </w:p>
          <w:p w:rsidR="00CF127C" w:rsidRPr="00C7769A" w:rsidRDefault="00CF127C" w:rsidP="0084105C">
            <w:pPr>
              <w:rPr>
                <w:color w:val="000000"/>
                <w:sz w:val="18"/>
                <w:szCs w:val="18"/>
              </w:rPr>
            </w:pPr>
            <w:r w:rsidRPr="00C7769A">
              <w:rPr>
                <w:color w:val="000000"/>
                <w:sz w:val="18"/>
                <w:szCs w:val="18"/>
              </w:rPr>
              <w:t xml:space="preserve">63% Caucasian, 33% African-American </w:t>
            </w:r>
          </w:p>
        </w:tc>
        <w:tc>
          <w:tcPr>
            <w:tcW w:w="5760" w:type="dxa"/>
          </w:tcPr>
          <w:p w:rsidR="00CF127C" w:rsidRPr="00C7769A" w:rsidRDefault="00CF127C" w:rsidP="0084105C">
            <w:pPr>
              <w:rPr>
                <w:color w:val="000000"/>
                <w:sz w:val="18"/>
                <w:szCs w:val="18"/>
              </w:rPr>
            </w:pPr>
            <w:r w:rsidRPr="00C7769A">
              <w:rPr>
                <w:color w:val="000000"/>
                <w:sz w:val="18"/>
                <w:szCs w:val="18"/>
              </w:rPr>
              <w:t>Highest priorities:</w:t>
            </w:r>
          </w:p>
          <w:p w:rsidR="00CF127C" w:rsidRPr="00C7769A" w:rsidRDefault="00CF127C" w:rsidP="00CF127C">
            <w:pPr>
              <w:numPr>
                <w:ilvl w:val="0"/>
                <w:numId w:val="13"/>
              </w:numPr>
              <w:spacing w:line="276" w:lineRule="auto"/>
              <w:rPr>
                <w:color w:val="000000"/>
                <w:sz w:val="18"/>
                <w:szCs w:val="18"/>
              </w:rPr>
            </w:pPr>
            <w:r w:rsidRPr="00C7769A">
              <w:rPr>
                <w:color w:val="000000"/>
                <w:sz w:val="18"/>
                <w:szCs w:val="18"/>
              </w:rPr>
              <w:t>First responders (fire fighters, police, ambulance workers) should have priority for medical care because they are important to everyone’s safety.</w:t>
            </w:r>
          </w:p>
          <w:p w:rsidR="00CF127C" w:rsidRPr="00C7769A" w:rsidRDefault="00CF127C" w:rsidP="00CF127C">
            <w:pPr>
              <w:numPr>
                <w:ilvl w:val="0"/>
                <w:numId w:val="13"/>
              </w:numPr>
              <w:spacing w:line="276" w:lineRule="auto"/>
              <w:rPr>
                <w:color w:val="000000"/>
                <w:sz w:val="18"/>
                <w:szCs w:val="18"/>
              </w:rPr>
            </w:pPr>
            <w:r w:rsidRPr="00C7769A">
              <w:rPr>
                <w:color w:val="000000"/>
                <w:sz w:val="18"/>
                <w:szCs w:val="18"/>
              </w:rPr>
              <w:t>Saving the greatest number of people, even if it means that some people aren’t going to be treated and will die.</w:t>
            </w:r>
          </w:p>
          <w:p w:rsidR="00CF127C" w:rsidRPr="00C7769A" w:rsidRDefault="00CF127C" w:rsidP="00CF127C">
            <w:pPr>
              <w:numPr>
                <w:ilvl w:val="0"/>
                <w:numId w:val="13"/>
              </w:numPr>
              <w:spacing w:line="276" w:lineRule="auto"/>
              <w:rPr>
                <w:color w:val="000000"/>
                <w:sz w:val="18"/>
                <w:szCs w:val="18"/>
              </w:rPr>
            </w:pPr>
            <w:r w:rsidRPr="00C7769A">
              <w:rPr>
                <w:color w:val="000000"/>
                <w:sz w:val="18"/>
                <w:szCs w:val="18"/>
              </w:rPr>
              <w:t>Give priority for medical care to patients with the best chance of survival. Otherwise, it’s not the best use of resources.</w:t>
            </w:r>
          </w:p>
          <w:p w:rsidR="00CF127C" w:rsidRPr="00C7769A" w:rsidRDefault="00CF127C" w:rsidP="00CF127C">
            <w:pPr>
              <w:numPr>
                <w:ilvl w:val="0"/>
                <w:numId w:val="13"/>
              </w:numPr>
              <w:spacing w:line="276" w:lineRule="auto"/>
              <w:rPr>
                <w:color w:val="000000"/>
                <w:sz w:val="18"/>
                <w:szCs w:val="18"/>
              </w:rPr>
            </w:pPr>
            <w:r w:rsidRPr="00C7769A">
              <w:rPr>
                <w:color w:val="000000"/>
                <w:sz w:val="18"/>
                <w:szCs w:val="18"/>
              </w:rPr>
              <w:t>Doctors, nurses, and medical workers should have priority for medical care because they can help everyone else when they recover.</w:t>
            </w:r>
          </w:p>
          <w:p w:rsidR="00CF127C" w:rsidRPr="00C7769A" w:rsidRDefault="00CF127C" w:rsidP="00CF127C">
            <w:pPr>
              <w:numPr>
                <w:ilvl w:val="0"/>
                <w:numId w:val="13"/>
              </w:numPr>
              <w:spacing w:line="276" w:lineRule="auto"/>
              <w:rPr>
                <w:color w:val="000000"/>
                <w:sz w:val="18"/>
                <w:szCs w:val="18"/>
              </w:rPr>
            </w:pPr>
            <w:r w:rsidRPr="00C7769A">
              <w:rPr>
                <w:color w:val="000000"/>
                <w:sz w:val="18"/>
                <w:szCs w:val="18"/>
              </w:rPr>
              <w:t>It’s a better use of medical resources to help the most people even if we can’t give the same level of care as we could in non-emergencies.</w:t>
            </w:r>
          </w:p>
          <w:p w:rsidR="00CF127C" w:rsidRPr="00C7769A" w:rsidRDefault="00CF127C" w:rsidP="0084105C">
            <w:pPr>
              <w:rPr>
                <w:color w:val="000000"/>
                <w:sz w:val="18"/>
                <w:szCs w:val="18"/>
              </w:rPr>
            </w:pPr>
            <w:r w:rsidRPr="00C7769A">
              <w:rPr>
                <w:color w:val="000000"/>
                <w:sz w:val="18"/>
                <w:szCs w:val="18"/>
              </w:rPr>
              <w:t>Lowest priorities:</w:t>
            </w:r>
          </w:p>
          <w:p w:rsidR="00CF127C" w:rsidRPr="00C7769A" w:rsidRDefault="00CF127C" w:rsidP="00CF127C">
            <w:pPr>
              <w:numPr>
                <w:ilvl w:val="0"/>
                <w:numId w:val="14"/>
              </w:numPr>
              <w:spacing w:line="276" w:lineRule="auto"/>
              <w:rPr>
                <w:color w:val="000000"/>
                <w:sz w:val="18"/>
                <w:szCs w:val="18"/>
              </w:rPr>
            </w:pPr>
            <w:r w:rsidRPr="00C7769A">
              <w:rPr>
                <w:color w:val="000000"/>
                <w:sz w:val="18"/>
                <w:szCs w:val="18"/>
              </w:rPr>
              <w:t>People without transportation should be given priority for medical care. It may take them a lot longer just to get to the hospital and then they will be at the end of the line.</w:t>
            </w:r>
          </w:p>
          <w:p w:rsidR="00CF127C" w:rsidRPr="00C7769A" w:rsidRDefault="00CF127C" w:rsidP="00CF127C">
            <w:pPr>
              <w:numPr>
                <w:ilvl w:val="0"/>
                <w:numId w:val="14"/>
              </w:numPr>
              <w:spacing w:line="276" w:lineRule="auto"/>
              <w:rPr>
                <w:color w:val="000000"/>
                <w:sz w:val="18"/>
                <w:szCs w:val="18"/>
              </w:rPr>
            </w:pPr>
            <w:r w:rsidRPr="00C7769A">
              <w:rPr>
                <w:color w:val="000000"/>
                <w:sz w:val="18"/>
                <w:szCs w:val="18"/>
              </w:rPr>
              <w:t>People who do not speak English very well have greater difficulty accessing the health care system so they should be given priority for medical care.</w:t>
            </w:r>
          </w:p>
          <w:p w:rsidR="00CF127C" w:rsidRPr="00C7769A" w:rsidRDefault="00CF127C" w:rsidP="00CF127C">
            <w:pPr>
              <w:numPr>
                <w:ilvl w:val="0"/>
                <w:numId w:val="14"/>
              </w:numPr>
              <w:spacing w:line="276" w:lineRule="auto"/>
              <w:rPr>
                <w:color w:val="000000"/>
                <w:sz w:val="18"/>
                <w:szCs w:val="18"/>
              </w:rPr>
            </w:pPr>
            <w:r w:rsidRPr="00C7769A">
              <w:rPr>
                <w:color w:val="000000"/>
                <w:sz w:val="18"/>
                <w:szCs w:val="18"/>
              </w:rPr>
              <w:t>People should be given medical care on a first come, first serve basis. People should be treated in the order they arrive in the hospital.</w:t>
            </w:r>
          </w:p>
          <w:p w:rsidR="00CF127C" w:rsidRPr="00C7769A" w:rsidRDefault="00CF127C" w:rsidP="00CF127C">
            <w:pPr>
              <w:numPr>
                <w:ilvl w:val="0"/>
                <w:numId w:val="14"/>
              </w:numPr>
              <w:spacing w:line="276" w:lineRule="auto"/>
              <w:rPr>
                <w:color w:val="000000"/>
                <w:sz w:val="18"/>
                <w:szCs w:val="18"/>
              </w:rPr>
            </w:pPr>
            <w:r w:rsidRPr="00C7769A">
              <w:rPr>
                <w:color w:val="000000"/>
                <w:sz w:val="18"/>
                <w:szCs w:val="18"/>
              </w:rPr>
              <w:t>People who can afford to pay should be given priority for medical care.</w:t>
            </w:r>
          </w:p>
          <w:p w:rsidR="00CF127C" w:rsidRPr="00C7769A" w:rsidRDefault="00CF127C" w:rsidP="00CF127C">
            <w:pPr>
              <w:numPr>
                <w:ilvl w:val="0"/>
                <w:numId w:val="14"/>
              </w:numPr>
              <w:spacing w:line="276" w:lineRule="auto"/>
              <w:rPr>
                <w:color w:val="000000"/>
                <w:sz w:val="18"/>
                <w:szCs w:val="18"/>
              </w:rPr>
            </w:pPr>
            <w:r w:rsidRPr="00C7769A">
              <w:rPr>
                <w:color w:val="000000"/>
                <w:sz w:val="18"/>
                <w:szCs w:val="18"/>
              </w:rPr>
              <w:t>Patients should be randomly selected for medical care because it is too difficult to figure out a way to give anyone priority.</w:t>
            </w:r>
          </w:p>
          <w:p w:rsidR="00CF127C" w:rsidRPr="00C7769A" w:rsidRDefault="00CF127C" w:rsidP="0084105C">
            <w:pPr>
              <w:rPr>
                <w:color w:val="000000"/>
                <w:sz w:val="18"/>
                <w:szCs w:val="18"/>
              </w:rPr>
            </w:pPr>
          </w:p>
          <w:p w:rsidR="00CF127C" w:rsidRPr="00C7769A" w:rsidRDefault="00CF127C" w:rsidP="0084105C">
            <w:pPr>
              <w:rPr>
                <w:color w:val="000000"/>
                <w:sz w:val="18"/>
                <w:szCs w:val="18"/>
              </w:rPr>
            </w:pPr>
            <w:r w:rsidRPr="00C7769A">
              <w:rPr>
                <w:color w:val="000000"/>
                <w:sz w:val="18"/>
                <w:szCs w:val="18"/>
              </w:rPr>
              <w:t xml:space="preserve">Findings were remarkably similar to similar exercises performed in </w:t>
            </w:r>
            <w:smartTag w:uri="urn:schemas-microsoft-com:office:smarttags" w:element="place">
              <w:smartTag w:uri="urn:schemas-microsoft-com:office:smarttags" w:element="City">
                <w:r w:rsidRPr="00C7769A">
                  <w:rPr>
                    <w:color w:val="000000"/>
                    <w:sz w:val="18"/>
                    <w:szCs w:val="18"/>
                  </w:rPr>
                  <w:t>Seattle</w:t>
                </w:r>
              </w:smartTag>
            </w:smartTag>
            <w:r w:rsidRPr="00C7769A">
              <w:rPr>
                <w:color w:val="000000"/>
                <w:sz w:val="18"/>
                <w:szCs w:val="18"/>
              </w:rPr>
              <w:t>, particularly:</w:t>
            </w:r>
          </w:p>
          <w:p w:rsidR="00CF127C" w:rsidRPr="00C7769A" w:rsidRDefault="00CF127C" w:rsidP="00CF127C">
            <w:pPr>
              <w:numPr>
                <w:ilvl w:val="0"/>
                <w:numId w:val="15"/>
              </w:numPr>
              <w:spacing w:line="276" w:lineRule="auto"/>
              <w:rPr>
                <w:color w:val="000000"/>
                <w:sz w:val="18"/>
                <w:szCs w:val="18"/>
              </w:rPr>
            </w:pPr>
            <w:r w:rsidRPr="00C7769A">
              <w:rPr>
                <w:color w:val="000000"/>
                <w:sz w:val="18"/>
                <w:szCs w:val="18"/>
              </w:rPr>
              <w:t>Providing treatment to the most numbers of people</w:t>
            </w:r>
          </w:p>
          <w:p w:rsidR="00CF127C" w:rsidRPr="00C7769A" w:rsidRDefault="00CF127C" w:rsidP="00CF127C">
            <w:pPr>
              <w:numPr>
                <w:ilvl w:val="0"/>
                <w:numId w:val="15"/>
              </w:numPr>
              <w:spacing w:line="276" w:lineRule="auto"/>
              <w:rPr>
                <w:color w:val="000000"/>
                <w:sz w:val="18"/>
                <w:szCs w:val="18"/>
              </w:rPr>
            </w:pPr>
            <w:r w:rsidRPr="00C7769A">
              <w:rPr>
                <w:color w:val="000000"/>
                <w:sz w:val="18"/>
                <w:szCs w:val="18"/>
              </w:rPr>
              <w:t>Survivability criterion</w:t>
            </w:r>
          </w:p>
          <w:p w:rsidR="00CF127C" w:rsidRPr="00C7769A" w:rsidRDefault="00CF127C" w:rsidP="00CF127C">
            <w:pPr>
              <w:numPr>
                <w:ilvl w:val="0"/>
                <w:numId w:val="15"/>
              </w:numPr>
              <w:spacing w:line="276" w:lineRule="auto"/>
              <w:rPr>
                <w:color w:val="000000"/>
                <w:sz w:val="18"/>
                <w:szCs w:val="18"/>
              </w:rPr>
            </w:pPr>
            <w:r w:rsidRPr="00C7769A">
              <w:rPr>
                <w:color w:val="000000"/>
                <w:sz w:val="18"/>
                <w:szCs w:val="18"/>
              </w:rPr>
              <w:t>Prioritization of first responders</w:t>
            </w:r>
          </w:p>
          <w:p w:rsidR="00CF127C" w:rsidRPr="00C7769A" w:rsidRDefault="00CF127C" w:rsidP="00CF127C">
            <w:pPr>
              <w:numPr>
                <w:ilvl w:val="0"/>
                <w:numId w:val="15"/>
              </w:numPr>
              <w:spacing w:line="276" w:lineRule="auto"/>
              <w:rPr>
                <w:color w:val="000000"/>
                <w:sz w:val="18"/>
                <w:szCs w:val="18"/>
              </w:rPr>
            </w:pPr>
            <w:r w:rsidRPr="00C7769A">
              <w:rPr>
                <w:color w:val="000000"/>
                <w:sz w:val="18"/>
                <w:szCs w:val="18"/>
              </w:rPr>
              <w:t>Rejection of first come, first served, randomization, ability to pay.</w:t>
            </w:r>
          </w:p>
        </w:tc>
        <w:tc>
          <w:tcPr>
            <w:tcW w:w="810" w:type="dxa"/>
          </w:tcPr>
          <w:p w:rsidR="00CF127C" w:rsidRPr="00C7769A" w:rsidRDefault="00CF127C" w:rsidP="0084105C">
            <w:pPr>
              <w:jc w:val="center"/>
              <w:rPr>
                <w:color w:val="000000"/>
                <w:sz w:val="18"/>
                <w:szCs w:val="18"/>
              </w:rPr>
            </w:pPr>
            <w:r w:rsidRPr="00C7769A">
              <w:rPr>
                <w:color w:val="000000"/>
                <w:sz w:val="18"/>
                <w:szCs w:val="18"/>
              </w:rPr>
              <w:t>2</w:t>
            </w:r>
          </w:p>
        </w:tc>
      </w:tr>
      <w:tr w:rsidR="00CF127C" w:rsidRPr="00C7769A" w:rsidTr="0084105C">
        <w:trPr>
          <w:cantSplit/>
          <w:trHeight w:val="1682"/>
        </w:trPr>
        <w:tc>
          <w:tcPr>
            <w:tcW w:w="1116" w:type="dxa"/>
          </w:tcPr>
          <w:p w:rsidR="00CF127C" w:rsidRPr="00C7769A" w:rsidRDefault="00CF127C" w:rsidP="0084105C">
            <w:pPr>
              <w:rPr>
                <w:color w:val="000000"/>
                <w:sz w:val="18"/>
                <w:szCs w:val="18"/>
              </w:rPr>
            </w:pPr>
            <w:r w:rsidRPr="00C7769A">
              <w:rPr>
                <w:color w:val="000000"/>
                <w:sz w:val="18"/>
                <w:szCs w:val="18"/>
              </w:rPr>
              <w:t>Vawter, 2011</w:t>
            </w:r>
            <w:r w:rsidRPr="0023334B">
              <w:rPr>
                <w:noProof/>
                <w:color w:val="000000"/>
                <w:sz w:val="18"/>
                <w:szCs w:val="18"/>
                <w:vertAlign w:val="superscript"/>
              </w:rPr>
              <w:t>182</w:t>
            </w:r>
          </w:p>
        </w:tc>
        <w:tc>
          <w:tcPr>
            <w:tcW w:w="1149" w:type="dxa"/>
          </w:tcPr>
          <w:p w:rsidR="00CF127C" w:rsidRPr="00C7769A" w:rsidRDefault="00CF127C" w:rsidP="0084105C">
            <w:pPr>
              <w:rPr>
                <w:color w:val="000000"/>
                <w:sz w:val="18"/>
                <w:szCs w:val="18"/>
              </w:rPr>
            </w:pPr>
            <w:r w:rsidRPr="00C7769A">
              <w:rPr>
                <w:color w:val="000000"/>
                <w:sz w:val="18"/>
                <w:szCs w:val="18"/>
              </w:rPr>
              <w:t>Community forum, small group discussion, solicitation of written comments</w:t>
            </w:r>
          </w:p>
        </w:tc>
        <w:tc>
          <w:tcPr>
            <w:tcW w:w="1980" w:type="dxa"/>
          </w:tcPr>
          <w:p w:rsidR="00CF127C" w:rsidRPr="00C7769A" w:rsidRDefault="00CF127C" w:rsidP="0084105C">
            <w:pPr>
              <w:rPr>
                <w:color w:val="000000"/>
                <w:sz w:val="18"/>
                <w:szCs w:val="18"/>
              </w:rPr>
            </w:pPr>
            <w:r w:rsidRPr="00C7769A">
              <w:rPr>
                <w:color w:val="000000"/>
                <w:sz w:val="18"/>
                <w:szCs w:val="18"/>
              </w:rPr>
              <w:t>To solicit broader public input on rationing scarce health resources in Minnesota in a severe influenza pandemic, with a particular focus on attending to the needs of the socially vulnerable when rationing resources</w:t>
            </w:r>
          </w:p>
        </w:tc>
        <w:tc>
          <w:tcPr>
            <w:tcW w:w="1080" w:type="dxa"/>
          </w:tcPr>
          <w:p w:rsidR="00CF127C" w:rsidRPr="00C7769A" w:rsidRDefault="00CF127C" w:rsidP="0084105C">
            <w:pPr>
              <w:jc w:val="center"/>
              <w:rPr>
                <w:color w:val="000000"/>
                <w:sz w:val="18"/>
                <w:szCs w:val="18"/>
              </w:rPr>
            </w:pPr>
            <w:smartTag w:uri="urn:schemas-microsoft-com:office:smarttags" w:element="State">
              <w:r w:rsidRPr="00C7769A">
                <w:rPr>
                  <w:color w:val="000000"/>
                  <w:sz w:val="18"/>
                  <w:szCs w:val="18"/>
                </w:rPr>
                <w:t>Minnesota</w:t>
              </w:r>
            </w:smartTag>
            <w:r w:rsidRPr="00C7769A">
              <w:rPr>
                <w:color w:val="000000"/>
                <w:sz w:val="18"/>
                <w:szCs w:val="18"/>
              </w:rPr>
              <w:t xml:space="preserve">, </w:t>
            </w:r>
            <w:smartTag w:uri="urn:schemas-microsoft-com:office:smarttags" w:element="place">
              <w:smartTag w:uri="urn:schemas-microsoft-com:office:smarttags" w:element="country-region">
                <w:r w:rsidRPr="00C7769A">
                  <w:rPr>
                    <w:color w:val="000000"/>
                    <w:sz w:val="18"/>
                    <w:szCs w:val="18"/>
                  </w:rPr>
                  <w:t>United States</w:t>
                </w:r>
              </w:smartTag>
            </w:smartTag>
          </w:p>
        </w:tc>
        <w:tc>
          <w:tcPr>
            <w:tcW w:w="1620" w:type="dxa"/>
          </w:tcPr>
          <w:p w:rsidR="00CF127C" w:rsidRPr="00C7769A" w:rsidRDefault="00CF127C" w:rsidP="0084105C">
            <w:pPr>
              <w:rPr>
                <w:color w:val="000000"/>
                <w:sz w:val="18"/>
                <w:szCs w:val="18"/>
              </w:rPr>
            </w:pPr>
            <w:r w:rsidRPr="00C7769A">
              <w:rPr>
                <w:color w:val="000000"/>
                <w:sz w:val="18"/>
                <w:szCs w:val="18"/>
              </w:rPr>
              <w:t>Not stated. Referred to other document for details</w:t>
            </w:r>
          </w:p>
        </w:tc>
        <w:tc>
          <w:tcPr>
            <w:tcW w:w="5760" w:type="dxa"/>
          </w:tcPr>
          <w:p w:rsidR="00CF127C" w:rsidRPr="00C7769A" w:rsidRDefault="00CF127C" w:rsidP="0084105C">
            <w:pPr>
              <w:rPr>
                <w:color w:val="000000"/>
                <w:sz w:val="18"/>
                <w:szCs w:val="18"/>
              </w:rPr>
            </w:pPr>
            <w:r w:rsidRPr="00C7769A">
              <w:rPr>
                <w:color w:val="000000"/>
                <w:sz w:val="18"/>
                <w:szCs w:val="18"/>
              </w:rPr>
              <w:t>Resource allocation policy:</w:t>
            </w:r>
          </w:p>
          <w:p w:rsidR="00CF127C" w:rsidRPr="00C7769A" w:rsidRDefault="00CF127C" w:rsidP="00CF127C">
            <w:pPr>
              <w:numPr>
                <w:ilvl w:val="0"/>
                <w:numId w:val="16"/>
              </w:numPr>
              <w:spacing w:line="276" w:lineRule="auto"/>
              <w:rPr>
                <w:color w:val="000000"/>
                <w:sz w:val="18"/>
                <w:szCs w:val="18"/>
              </w:rPr>
            </w:pPr>
            <w:r w:rsidRPr="00C7769A">
              <w:rPr>
                <w:color w:val="000000"/>
                <w:sz w:val="18"/>
                <w:szCs w:val="18"/>
              </w:rPr>
              <w:t>Ensure that health disparities are not exacerbated.</w:t>
            </w:r>
          </w:p>
          <w:p w:rsidR="00CF127C" w:rsidRPr="00C7769A" w:rsidRDefault="00CF127C" w:rsidP="00CF127C">
            <w:pPr>
              <w:numPr>
                <w:ilvl w:val="0"/>
                <w:numId w:val="16"/>
              </w:numPr>
              <w:spacing w:line="276" w:lineRule="auto"/>
              <w:rPr>
                <w:color w:val="000000"/>
                <w:sz w:val="18"/>
                <w:szCs w:val="18"/>
              </w:rPr>
            </w:pPr>
            <w:r w:rsidRPr="00C7769A">
              <w:rPr>
                <w:color w:val="000000"/>
                <w:sz w:val="18"/>
                <w:szCs w:val="18"/>
              </w:rPr>
              <w:t>Protect the population’s health</w:t>
            </w:r>
          </w:p>
          <w:p w:rsidR="00CF127C" w:rsidRPr="00C7769A" w:rsidRDefault="00CF127C" w:rsidP="00CF127C">
            <w:pPr>
              <w:numPr>
                <w:ilvl w:val="0"/>
                <w:numId w:val="16"/>
              </w:numPr>
              <w:spacing w:line="276" w:lineRule="auto"/>
              <w:rPr>
                <w:color w:val="000000"/>
                <w:sz w:val="18"/>
                <w:szCs w:val="18"/>
              </w:rPr>
            </w:pPr>
            <w:r w:rsidRPr="00C7769A">
              <w:rPr>
                <w:color w:val="000000"/>
                <w:sz w:val="18"/>
                <w:szCs w:val="18"/>
              </w:rPr>
              <w:t>Protect public safety and social order</w:t>
            </w:r>
          </w:p>
          <w:p w:rsidR="00CF127C" w:rsidRPr="00C7769A" w:rsidRDefault="00CF127C" w:rsidP="0084105C">
            <w:pPr>
              <w:rPr>
                <w:color w:val="000000"/>
                <w:sz w:val="18"/>
                <w:szCs w:val="18"/>
              </w:rPr>
            </w:pPr>
            <w:r w:rsidRPr="00C7769A">
              <w:rPr>
                <w:color w:val="000000"/>
                <w:sz w:val="18"/>
                <w:szCs w:val="18"/>
              </w:rPr>
              <w:t>Rationing:</w:t>
            </w:r>
          </w:p>
          <w:p w:rsidR="00CF127C" w:rsidRPr="00C7769A" w:rsidRDefault="00CF127C" w:rsidP="00CF127C">
            <w:pPr>
              <w:numPr>
                <w:ilvl w:val="0"/>
                <w:numId w:val="16"/>
              </w:numPr>
              <w:spacing w:line="276" w:lineRule="auto"/>
              <w:rPr>
                <w:color w:val="000000"/>
                <w:sz w:val="18"/>
                <w:szCs w:val="18"/>
              </w:rPr>
            </w:pPr>
            <w:r w:rsidRPr="00C7769A">
              <w:rPr>
                <w:color w:val="000000"/>
                <w:sz w:val="18"/>
                <w:szCs w:val="18"/>
              </w:rPr>
              <w:t>Do not ration on the basis of race, ethnicity, income, geography, or first-come first-served.</w:t>
            </w:r>
          </w:p>
          <w:p w:rsidR="00CF127C" w:rsidRPr="00C7769A" w:rsidRDefault="00CF127C" w:rsidP="00CF127C">
            <w:pPr>
              <w:numPr>
                <w:ilvl w:val="0"/>
                <w:numId w:val="16"/>
              </w:numPr>
              <w:spacing w:line="276" w:lineRule="auto"/>
              <w:rPr>
                <w:color w:val="000000"/>
                <w:sz w:val="18"/>
                <w:szCs w:val="18"/>
              </w:rPr>
            </w:pPr>
            <w:r w:rsidRPr="00C7769A">
              <w:rPr>
                <w:color w:val="000000"/>
                <w:sz w:val="18"/>
                <w:szCs w:val="18"/>
              </w:rPr>
              <w:t xml:space="preserve">Do not prioritize based on differences in social vulnerability. </w:t>
            </w:r>
          </w:p>
          <w:p w:rsidR="00CF127C" w:rsidRPr="00C7769A" w:rsidRDefault="00CF127C" w:rsidP="0084105C">
            <w:pPr>
              <w:rPr>
                <w:sz w:val="18"/>
                <w:szCs w:val="18"/>
              </w:rPr>
            </w:pPr>
          </w:p>
        </w:tc>
        <w:tc>
          <w:tcPr>
            <w:tcW w:w="810" w:type="dxa"/>
          </w:tcPr>
          <w:p w:rsidR="00CF127C" w:rsidRPr="00C7769A" w:rsidRDefault="00CF127C" w:rsidP="0084105C">
            <w:pPr>
              <w:jc w:val="center"/>
              <w:rPr>
                <w:color w:val="000000"/>
                <w:sz w:val="18"/>
                <w:szCs w:val="18"/>
              </w:rPr>
            </w:pPr>
            <w:r w:rsidRPr="00C7769A">
              <w:rPr>
                <w:color w:val="000000"/>
                <w:sz w:val="18"/>
                <w:szCs w:val="18"/>
              </w:rPr>
              <w:t>3</w:t>
            </w:r>
          </w:p>
        </w:tc>
      </w:tr>
      <w:tr w:rsidR="00CF127C" w:rsidRPr="00C7769A" w:rsidTr="0084105C">
        <w:trPr>
          <w:cantSplit/>
          <w:trHeight w:val="2861"/>
        </w:trPr>
        <w:tc>
          <w:tcPr>
            <w:tcW w:w="1116" w:type="dxa"/>
          </w:tcPr>
          <w:p w:rsidR="00CF127C" w:rsidRPr="00C7769A" w:rsidRDefault="00CF127C" w:rsidP="0084105C">
            <w:pPr>
              <w:rPr>
                <w:color w:val="000000"/>
                <w:sz w:val="18"/>
                <w:szCs w:val="18"/>
              </w:rPr>
            </w:pPr>
            <w:r w:rsidRPr="00C7769A">
              <w:rPr>
                <w:color w:val="000000"/>
                <w:sz w:val="18"/>
                <w:szCs w:val="18"/>
              </w:rPr>
              <w:lastRenderedPageBreak/>
              <w:t xml:space="preserve">Vawter, 2010 </w:t>
            </w:r>
            <w:r w:rsidRPr="0023334B">
              <w:rPr>
                <w:noProof/>
                <w:color w:val="000000"/>
                <w:sz w:val="18"/>
                <w:szCs w:val="18"/>
                <w:vertAlign w:val="superscript"/>
              </w:rPr>
              <w:t>179</w:t>
            </w:r>
          </w:p>
        </w:tc>
        <w:tc>
          <w:tcPr>
            <w:tcW w:w="1149" w:type="dxa"/>
          </w:tcPr>
          <w:p w:rsidR="00CF127C" w:rsidRPr="00C7769A" w:rsidRDefault="00CF127C" w:rsidP="0084105C">
            <w:pPr>
              <w:rPr>
                <w:color w:val="000000"/>
                <w:sz w:val="18"/>
                <w:szCs w:val="18"/>
              </w:rPr>
            </w:pPr>
            <w:r w:rsidRPr="00C7769A">
              <w:rPr>
                <w:color w:val="000000"/>
                <w:sz w:val="18"/>
                <w:szCs w:val="18"/>
              </w:rPr>
              <w:t>Community forum, small group discussion, solicitation of written comments</w:t>
            </w:r>
          </w:p>
        </w:tc>
        <w:tc>
          <w:tcPr>
            <w:tcW w:w="1980" w:type="dxa"/>
          </w:tcPr>
          <w:p w:rsidR="00CF127C" w:rsidRPr="00C7769A" w:rsidRDefault="00CF127C" w:rsidP="0084105C">
            <w:pPr>
              <w:rPr>
                <w:color w:val="000000"/>
                <w:sz w:val="18"/>
                <w:szCs w:val="18"/>
              </w:rPr>
            </w:pPr>
            <w:r w:rsidRPr="00C7769A">
              <w:rPr>
                <w:color w:val="000000"/>
                <w:sz w:val="18"/>
                <w:szCs w:val="18"/>
              </w:rPr>
              <w:t xml:space="preserve">To solicit broader public input on rationing scarce health resources in </w:t>
            </w:r>
            <w:smartTag w:uri="urn:schemas-microsoft-com:office:smarttags" w:element="place">
              <w:smartTag w:uri="urn:schemas-microsoft-com:office:smarttags" w:element="State">
                <w:r w:rsidRPr="00C7769A">
                  <w:rPr>
                    <w:color w:val="000000"/>
                    <w:sz w:val="18"/>
                    <w:szCs w:val="18"/>
                  </w:rPr>
                  <w:t>Minnesota</w:t>
                </w:r>
              </w:smartTag>
            </w:smartTag>
            <w:r w:rsidRPr="00C7769A">
              <w:rPr>
                <w:color w:val="000000"/>
                <w:sz w:val="18"/>
                <w:szCs w:val="18"/>
              </w:rPr>
              <w:t xml:space="preserve"> in a severe influenza pandemic</w:t>
            </w:r>
          </w:p>
          <w:p w:rsidR="00CF127C" w:rsidRPr="00C7769A" w:rsidRDefault="00CF127C" w:rsidP="0084105C">
            <w:pPr>
              <w:rPr>
                <w:color w:val="000000"/>
                <w:sz w:val="18"/>
                <w:szCs w:val="18"/>
              </w:rPr>
            </w:pPr>
          </w:p>
          <w:p w:rsidR="00CF127C" w:rsidRPr="00C7769A" w:rsidRDefault="00CF127C" w:rsidP="0084105C">
            <w:pPr>
              <w:jc w:val="center"/>
              <w:rPr>
                <w:i/>
                <w:color w:val="000000"/>
                <w:sz w:val="18"/>
                <w:szCs w:val="18"/>
              </w:rPr>
            </w:pPr>
            <w:r w:rsidRPr="00C7769A">
              <w:rPr>
                <w:i/>
                <w:color w:val="000000"/>
                <w:sz w:val="18"/>
                <w:szCs w:val="18"/>
              </w:rPr>
              <w:t>(pandemic influenza)</w:t>
            </w:r>
          </w:p>
        </w:tc>
        <w:tc>
          <w:tcPr>
            <w:tcW w:w="1080" w:type="dxa"/>
          </w:tcPr>
          <w:p w:rsidR="00CF127C" w:rsidRPr="00C7769A" w:rsidRDefault="00CF127C" w:rsidP="0084105C">
            <w:pPr>
              <w:jc w:val="center"/>
              <w:rPr>
                <w:color w:val="000000"/>
                <w:sz w:val="18"/>
                <w:szCs w:val="18"/>
              </w:rPr>
            </w:pPr>
            <w:r w:rsidRPr="00C7769A">
              <w:rPr>
                <w:color w:val="000000"/>
                <w:sz w:val="18"/>
                <w:szCs w:val="18"/>
              </w:rPr>
              <w:t>MN</w:t>
            </w:r>
          </w:p>
        </w:tc>
        <w:tc>
          <w:tcPr>
            <w:tcW w:w="1620" w:type="dxa"/>
          </w:tcPr>
          <w:p w:rsidR="00CF127C" w:rsidRPr="00C7769A" w:rsidRDefault="00CF127C" w:rsidP="0084105C">
            <w:pPr>
              <w:rPr>
                <w:color w:val="000000"/>
                <w:sz w:val="18"/>
                <w:szCs w:val="18"/>
              </w:rPr>
            </w:pPr>
            <w:r w:rsidRPr="00C7769A">
              <w:rPr>
                <w:color w:val="000000"/>
                <w:sz w:val="18"/>
                <w:szCs w:val="18"/>
              </w:rPr>
              <w:t>66% females, 9% Hispanic/Latino, 82% White</w:t>
            </w:r>
          </w:p>
          <w:p w:rsidR="00CF127C" w:rsidRPr="00C7769A" w:rsidRDefault="00CF127C" w:rsidP="0084105C">
            <w:pPr>
              <w:rPr>
                <w:color w:val="000000"/>
                <w:sz w:val="18"/>
                <w:szCs w:val="18"/>
              </w:rPr>
            </w:pPr>
          </w:p>
          <w:p w:rsidR="00CF127C" w:rsidRPr="00C7769A" w:rsidRDefault="00CF127C" w:rsidP="0084105C">
            <w:pPr>
              <w:jc w:val="center"/>
              <w:rPr>
                <w:color w:val="000000"/>
                <w:sz w:val="18"/>
                <w:szCs w:val="18"/>
              </w:rPr>
            </w:pPr>
            <w:r w:rsidRPr="00C7769A">
              <w:rPr>
                <w:color w:val="000000"/>
                <w:sz w:val="18"/>
                <w:szCs w:val="18"/>
              </w:rPr>
              <w:t>(n = 441)</w:t>
            </w:r>
          </w:p>
        </w:tc>
        <w:tc>
          <w:tcPr>
            <w:tcW w:w="5760" w:type="dxa"/>
          </w:tcPr>
          <w:p w:rsidR="00CF127C" w:rsidRPr="00C7769A" w:rsidRDefault="00CF127C" w:rsidP="0084105C">
            <w:pPr>
              <w:rPr>
                <w:color w:val="000000"/>
                <w:sz w:val="18"/>
                <w:szCs w:val="18"/>
              </w:rPr>
            </w:pPr>
            <w:r w:rsidRPr="00C7769A">
              <w:rPr>
                <w:i/>
                <w:color w:val="000000"/>
                <w:sz w:val="18"/>
                <w:szCs w:val="18"/>
              </w:rPr>
              <w:t>Resource Allocation Policy:</w:t>
            </w:r>
            <w:r w:rsidRPr="00C7769A">
              <w:rPr>
                <w:color w:val="000000"/>
                <w:sz w:val="18"/>
                <w:szCs w:val="18"/>
              </w:rPr>
              <w:t xml:space="preserve"> </w:t>
            </w:r>
            <w:r w:rsidRPr="00C7769A">
              <w:rPr>
                <w:color w:val="000000"/>
                <w:sz w:val="18"/>
                <w:szCs w:val="18"/>
              </w:rPr>
              <w:br/>
              <w:t>1. Three objectives should be balanced when rationing health care resources allocation: 1) reduce deaths, 2) treat people fairly, and 3) protect public health and infrastructure;</w:t>
            </w:r>
            <w:r w:rsidRPr="00C7769A">
              <w:rPr>
                <w:color w:val="000000"/>
                <w:sz w:val="18"/>
                <w:szCs w:val="18"/>
              </w:rPr>
              <w:br/>
              <w:t>2. Transparency and public education are important to ensure fairness.</w:t>
            </w:r>
            <w:r w:rsidRPr="00C7769A">
              <w:rPr>
                <w:color w:val="000000"/>
                <w:sz w:val="18"/>
                <w:szCs w:val="18"/>
              </w:rPr>
              <w:br/>
            </w:r>
            <w:r w:rsidRPr="00C7769A">
              <w:rPr>
                <w:color w:val="000000"/>
                <w:sz w:val="18"/>
                <w:szCs w:val="18"/>
              </w:rPr>
              <w:br/>
            </w:r>
            <w:r w:rsidRPr="00C7769A">
              <w:rPr>
                <w:i/>
                <w:color w:val="000000"/>
                <w:sz w:val="18"/>
                <w:szCs w:val="18"/>
              </w:rPr>
              <w:t>Priority Criteria:</w:t>
            </w:r>
            <w:r w:rsidRPr="00C7769A">
              <w:rPr>
                <w:color w:val="000000"/>
                <w:sz w:val="18"/>
                <w:szCs w:val="18"/>
              </w:rPr>
              <w:br/>
              <w:t>1. Priority rationing should not be based on gender, race, ability to pay, or first-come first served;</w:t>
            </w:r>
            <w:r w:rsidRPr="00C7769A">
              <w:rPr>
                <w:color w:val="000000"/>
                <w:sz w:val="18"/>
                <w:szCs w:val="18"/>
              </w:rPr>
              <w:br/>
              <w:t>2. A large majority supported age-based rationing and prioritized children and young adults before seniors; seniors over age 85 were de-prioritized by some;</w:t>
            </w:r>
            <w:r w:rsidRPr="00C7769A">
              <w:rPr>
                <w:color w:val="000000"/>
                <w:sz w:val="18"/>
                <w:szCs w:val="18"/>
              </w:rPr>
              <w:br/>
              <w:t>3. It is important to pay attention to the needs of vulnerable populations.</w:t>
            </w:r>
          </w:p>
        </w:tc>
        <w:tc>
          <w:tcPr>
            <w:tcW w:w="810" w:type="dxa"/>
          </w:tcPr>
          <w:p w:rsidR="00CF127C" w:rsidRPr="00C7769A" w:rsidRDefault="00CF127C" w:rsidP="0084105C">
            <w:pPr>
              <w:jc w:val="center"/>
              <w:rPr>
                <w:color w:val="000000"/>
                <w:sz w:val="18"/>
                <w:szCs w:val="18"/>
              </w:rPr>
            </w:pPr>
            <w:r w:rsidRPr="00C7769A">
              <w:rPr>
                <w:color w:val="000000"/>
                <w:sz w:val="18"/>
                <w:szCs w:val="18"/>
              </w:rPr>
              <w:t>3</w:t>
            </w:r>
          </w:p>
        </w:tc>
      </w:tr>
    </w:tbl>
    <w:p w:rsidR="00CF127C" w:rsidRDefault="00CF127C" w:rsidP="00CF127C"/>
    <w:sectPr w:rsidR="00CF127C" w:rsidSect="00E54097">
      <w:headerReference w:type="default" r:id="rId8"/>
      <w:footerReference w:type="default" r:id="rId9"/>
      <w:pgSz w:w="15840" w:h="12240" w:orient="landscape" w:code="1"/>
      <w:pgMar w:top="360" w:right="360" w:bottom="360" w:left="720" w:header="720" w:footer="36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AE" w:rsidRDefault="008133AE">
      <w:r>
        <w:separator/>
      </w:r>
    </w:p>
    <w:p w:rsidR="008133AE" w:rsidRDefault="008133AE"/>
    <w:p w:rsidR="008133AE" w:rsidRDefault="008133AE"/>
    <w:p w:rsidR="008133AE" w:rsidRDefault="008133AE"/>
    <w:p w:rsidR="008133AE" w:rsidRDefault="008133AE"/>
  </w:endnote>
  <w:endnote w:type="continuationSeparator" w:id="0">
    <w:p w:rsidR="008133AE" w:rsidRDefault="008133AE">
      <w:r>
        <w:continuationSeparator/>
      </w:r>
    </w:p>
    <w:p w:rsidR="008133AE" w:rsidRDefault="008133AE"/>
    <w:p w:rsidR="008133AE" w:rsidRDefault="008133AE"/>
    <w:p w:rsidR="008133AE" w:rsidRDefault="008133AE"/>
    <w:p w:rsidR="008133AE" w:rsidRDefault="008133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97" w:rsidRPr="00B243AB" w:rsidRDefault="00E54097">
    <w:pPr>
      <w:adjustRightInd w:val="0"/>
      <w:jc w:val="center"/>
      <w:rPr>
        <w:rFonts w:ascii="Times New Roman" w:hAnsi="Times New Roman"/>
        <w:sz w:val="32"/>
        <w:szCs w:val="24"/>
      </w:rPr>
    </w:pPr>
    <w:r w:rsidRPr="00EB0A35">
      <w:rPr>
        <w:rStyle w:val="PageNumber0"/>
        <w:rFonts w:ascii="Times New Roman" w:hAnsi="Times New Roman"/>
      </w:rPr>
      <w:t>C</w:t>
    </w:r>
    <w:r>
      <w:rPr>
        <w:rStyle w:val="PageNumber0"/>
        <w:rFonts w:ascii="Times New Roman" w:hAnsi="Times New Roman"/>
      </w:rPr>
      <w:t>-</w:t>
    </w:r>
    <w:r w:rsidR="00DA630E" w:rsidRPr="00EB0A35">
      <w:rPr>
        <w:rStyle w:val="PageNumber0"/>
        <w:rFonts w:ascii="Times New Roman" w:hAnsi="Times New Roman"/>
      </w:rPr>
      <w:fldChar w:fldCharType="begin"/>
    </w:r>
    <w:r w:rsidRPr="00EB0A35">
      <w:rPr>
        <w:rStyle w:val="PageNumber0"/>
        <w:rFonts w:ascii="Times New Roman" w:hAnsi="Times New Roman"/>
      </w:rPr>
      <w:instrText xml:space="preserve"> PAGE </w:instrText>
    </w:r>
    <w:r w:rsidR="00DA630E" w:rsidRPr="00EB0A35">
      <w:rPr>
        <w:rStyle w:val="PageNumber0"/>
        <w:rFonts w:ascii="Times New Roman" w:hAnsi="Times New Roman"/>
      </w:rPr>
      <w:fldChar w:fldCharType="separate"/>
    </w:r>
    <w:r w:rsidR="008F7C71">
      <w:rPr>
        <w:rStyle w:val="PageNumber0"/>
        <w:rFonts w:ascii="Times New Roman" w:hAnsi="Times New Roman"/>
        <w:noProof/>
      </w:rPr>
      <w:t>49</w:t>
    </w:r>
    <w:r w:rsidR="00DA630E" w:rsidRPr="00EB0A35">
      <w:rPr>
        <w:rStyle w:val="PageNumber0"/>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AE" w:rsidRDefault="008133AE">
      <w:r>
        <w:separator/>
      </w:r>
    </w:p>
  </w:footnote>
  <w:footnote w:type="continuationSeparator" w:id="0">
    <w:p w:rsidR="008133AE" w:rsidRDefault="008133AE">
      <w:r>
        <w:continuationSeparator/>
      </w:r>
    </w:p>
    <w:p w:rsidR="008133AE" w:rsidRDefault="008133AE"/>
    <w:p w:rsidR="008133AE" w:rsidRDefault="008133AE"/>
    <w:p w:rsidR="008133AE" w:rsidRDefault="008133AE"/>
    <w:p w:rsidR="008133AE" w:rsidRDefault="008133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97" w:rsidRPr="0064463D" w:rsidRDefault="00E54097" w:rsidP="0084105C">
    <w:r w:rsidRPr="0064463D">
      <w:t>Appendix Table C-7. Public perceptions and conce</w:t>
    </w:r>
    <w:r w:rsidR="008F7C71">
      <w:t xml:space="preserve">rns </w:t>
    </w:r>
    <w:r w:rsidRPr="0064463D">
      <w:t xml:space="preserve">about </w:t>
    </w:r>
    <w:r>
      <w:t xml:space="preserve">allocating </w:t>
    </w:r>
    <w:r w:rsidRPr="0064463D">
      <w:t>scarce resource</w:t>
    </w:r>
    <w:r>
      <w:t>s</w:t>
    </w:r>
    <w:r w:rsidRPr="0064463D">
      <w:t xml:space="preserve"> </w:t>
    </w:r>
    <w:r>
      <w:t xml:space="preserve">during </w:t>
    </w:r>
    <w:r w:rsidRPr="0064463D">
      <w:t>mass</w:t>
    </w:r>
    <w:r>
      <w:t xml:space="preserve"> </w:t>
    </w:r>
    <w:r w:rsidRPr="0064463D">
      <w:t xml:space="preserve">casualty </w:t>
    </w:r>
    <w:r>
      <w:t xml:space="preserve">events </w:t>
    </w:r>
    <w:r w:rsidRPr="0064463D">
      <w:t>(KQ3)</w:t>
    </w:r>
  </w:p>
  <w:p w:rsidR="00E54097" w:rsidRDefault="00E540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B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3584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8AB"/>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CE"/>
    <w:rsid w:val="005977FF"/>
    <w:rsid w:val="00597D8F"/>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3AE"/>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47"/>
    <w:rsid w:val="0084105C"/>
    <w:rsid w:val="008420AA"/>
    <w:rsid w:val="008432F2"/>
    <w:rsid w:val="0084494E"/>
    <w:rsid w:val="00845B71"/>
    <w:rsid w:val="00845EA1"/>
    <w:rsid w:val="008478A5"/>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C71"/>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273C9"/>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A630E"/>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5134C"/>
    <w:rsid w:val="00E51F35"/>
    <w:rsid w:val="00E52122"/>
    <w:rsid w:val="00E524D5"/>
    <w:rsid w:val="00E54097"/>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4F28"/>
    <w:rsid w:val="00FC5807"/>
    <w:rsid w:val="00FC6B68"/>
    <w:rsid w:val="00FD045C"/>
    <w:rsid w:val="00FD1F58"/>
    <w:rsid w:val="00FD322F"/>
    <w:rsid w:val="00FD3335"/>
    <w:rsid w:val="00FD3C20"/>
    <w:rsid w:val="00FD5B47"/>
    <w:rsid w:val="00FD5D4B"/>
    <w:rsid w:val="00FD6055"/>
    <w:rsid w:val="00FE2007"/>
    <w:rsid w:val="00FE2D91"/>
    <w:rsid w:val="00FE3085"/>
    <w:rsid w:val="00FE576A"/>
    <w:rsid w:val="00FE6A48"/>
    <w:rsid w:val="00FE7D3B"/>
    <w:rsid w:val="00FF321D"/>
    <w:rsid w:val="00FF33B8"/>
    <w:rsid w:val="00FF396F"/>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hAnsi="Times New Roman"/>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2F12-138D-4C8B-899E-160D16C2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Template>
  <TotalTime>38</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Venture</cp:lastModifiedBy>
  <cp:revision>10</cp:revision>
  <cp:lastPrinted>2012-07-02T15:17:00Z</cp:lastPrinted>
  <dcterms:created xsi:type="dcterms:W3CDTF">2012-07-02T15:05:00Z</dcterms:created>
  <dcterms:modified xsi:type="dcterms:W3CDTF">2012-07-04T14:09:00Z</dcterms:modified>
</cp:coreProperties>
</file>